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SM-16.14 - Are Member State ministries considered EU institutions for EUSurvey transition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Clarify how Member State ministries and national public administrations are classified for this transition.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Are Member State ministries considered EU institutions for transition?</w:t>
      </w:r>
    </w:p>
    <w:p>
      <w:pPr>
        <w:pStyle w:val="Heading1"/>
      </w:pPr>
      <w:r>
        <w:t>Direct answer</w:t>
      </w:r>
    </w:p>
    <w:p>
      <w:r>
        <w:t>No. For this transition, Member State ministries, national authorities, regional authorities and public corporations are considered external users. They will not be able to create new surveys themselves on the Commission-hosted EUSurvey service after 31 August 2026.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They may still participate in surveys, access public surveys and results where enabled, and manage surveys created by an EU institutional user when permissions are granted.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SM-16.14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Are Member State ministries considered EU institutions for EUSurvey transition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DE5A56-6BA0-4FEE-8484-68CF2DB4195A}"/>
</file>

<file path=customXml/itemProps3.xml><?xml version="1.0" encoding="utf-8"?>
<ds:datastoreItem xmlns:ds="http://schemas.openxmlformats.org/officeDocument/2006/customXml" ds:itemID="{F9CF1D92-0C4F-47CD-8A1C-B3A0ED048A55}"/>
</file>

<file path=customXml/itemProps4.xml><?xml version="1.0" encoding="utf-8"?>
<ds:datastoreItem xmlns:ds="http://schemas.openxmlformats.org/officeDocument/2006/customXml" ds:itemID="{16CF2CD7-59BC-4BA9-9BC3-6F06A4239D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