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UG-005 — How to configure single choice quiz questions</w:t>
      </w:r>
    </w:p>
    <w:p>
      <w:r>
        <w:rPr>
          <w:b/>
        </w:rPr>
        <w:t>Normalized EUSurvey KB article</w:t>
      </w:r>
    </w:p>
    <w:p>
      <w:r>
        <w:t>Source guide: EUSurvey_Quiz_Guide.pdf</w:t>
      </w:r>
    </w:p>
    <w:p>
      <w:pPr>
        <w:pStyle w:val="Heading2"/>
      </w:pPr>
      <w:r>
        <w:t>Purpose</w:t>
      </w:r>
    </w:p>
    <w:p>
      <w:r>
        <w:t>Explain quiz scoring for single choice questions.</w:t>
      </w:r>
    </w:p>
    <w:p>
      <w:pPr>
        <w:pStyle w:val="Heading2"/>
      </w:pPr>
      <w:r>
        <w:t>Applies to</w:t>
      </w:r>
    </w:p>
    <w:p>
      <w:pPr>
        <w:pStyle w:val="ListBullet"/>
      </w:pPr>
      <w:r>
        <w:t>Feature: Quiz questions</w:t>
      </w:r>
    </w:p>
    <w:p>
      <w:pPr>
        <w:pStyle w:val="ListBullet"/>
      </w:pPr>
      <w:r>
        <w:t>Question type: Single choice</w:t>
      </w:r>
    </w:p>
    <w:p>
      <w:pPr>
        <w:pStyle w:val="Heading2"/>
      </w:pPr>
      <w:r>
        <w:t>User question examples</w:t>
      </w:r>
    </w:p>
    <w:p>
      <w:pPr>
        <w:pStyle w:val="ListBullet"/>
      </w:pPr>
      <w:r>
        <w:t>How do I score a single choice quiz question?</w:t>
      </w:r>
    </w:p>
    <w:p>
      <w:pPr>
        <w:pStyle w:val="ListBullet"/>
      </w:pPr>
      <w:r>
        <w:t>Do I need to re-enter single choice answers in Quiz Properties?</w:t>
      </w:r>
    </w:p>
    <w:p>
      <w:pPr>
        <w:pStyle w:val="Heading2"/>
      </w:pPr>
      <w:r>
        <w:t>Direct answer</w:t>
      </w:r>
    </w:p>
    <w:p>
      <w:r>
        <w:t>For single choice quiz questions, EUSurvey uses the possible answers already configured in the question. In Quiz Properties, mark each answer as correct or incorrect and assign points according to the scoring approach.</w:t>
      </w:r>
    </w:p>
    <w:p>
      <w:pPr>
        <w:pStyle w:val="Heading2"/>
      </w:pPr>
      <w:r>
        <w:t>Procedure / guidance</w:t>
      </w:r>
    </w:p>
    <w:p>
      <w:pPr>
        <w:pStyle w:val="ListNumber"/>
      </w:pPr>
      <w:r>
        <w:t>Create or select a single choice question.</w:t>
      </w:r>
    </w:p>
    <w:p>
      <w:pPr>
        <w:pStyle w:val="ListNumber"/>
      </w:pPr>
      <w:r>
        <w:t>Add the possible answers in Element Properties.</w:t>
      </w:r>
    </w:p>
    <w:p>
      <w:pPr>
        <w:pStyle w:val="ListNumber"/>
      </w:pPr>
      <w:r>
        <w:t>Open Quiz Properties for the question.</w:t>
      </w:r>
    </w:p>
    <w:p>
      <w:pPr>
        <w:pStyle w:val="ListNumber"/>
      </w:pPr>
      <w:r>
        <w:t>Mark each possible answer as correct or incorrect.</w:t>
      </w:r>
    </w:p>
    <w:p>
      <w:pPr>
        <w:pStyle w:val="ListNumber"/>
      </w:pPr>
      <w:r>
        <w:t>Configure points and optional feedback.</w:t>
      </w:r>
    </w:p>
    <w:p>
      <w:pPr>
        <w:pStyle w:val="Heading2"/>
      </w:pPr>
      <w:r>
        <w:t>Important notes</w:t>
      </w:r>
    </w:p>
    <w:p>
      <w:pPr>
        <w:pStyle w:val="ListBullet"/>
      </w:pPr>
      <w:r>
        <w:t>The answer values come from the Possible Answers configured for the question, so they do not need to be entered again in Quiz Properties.</w:t>
      </w:r>
    </w:p>
    <w:p>
      <w:pPr>
        <w:pStyle w:val="Heading2"/>
      </w:pPr>
      <w:r>
        <w:t>Related articles</w:t>
      </w:r>
    </w:p>
    <w:p>
      <w:pPr>
        <w:pStyle w:val="ListBullet"/>
      </w:pPr>
      <w:r>
        <w:t>UG-006 — Configure multiple choice quiz questions</w:t>
      </w:r>
    </w:p>
    <w:p>
      <w:pPr>
        <w:pStyle w:val="Heading2"/>
      </w:pPr>
      <w:r>
        <w:t>RAG metadata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t>Product</w:t>
            </w:r>
          </w:p>
        </w:tc>
        <w:tc>
          <w:tcPr>
            <w:tcW w:type="dxa" w:w="5112"/>
            <w:vAlign w:val="top"/>
          </w:tcPr>
          <w:p>
            <w:r>
              <w:t>EUSurvey</w:t>
            </w:r>
          </w:p>
        </w:tc>
      </w:tr>
      <w:tr>
        <w:tc>
          <w:tcPr>
            <w:tcW w:type="dxa" w:w="5112"/>
            <w:shd w:fill="D9EAF7"/>
            <w:vAlign w:val="top"/>
          </w:tcPr>
          <w:p>
            <w:r>
              <w:t>Audience</w:t>
            </w:r>
          </w:p>
        </w:tc>
        <w:tc>
          <w:tcPr>
            <w:tcW w:type="dxa" w:w="5112"/>
            <w:vAlign w:val="top"/>
          </w:tcPr>
          <w:p>
            <w:r>
              <w:t>Survey managers / form managers</w:t>
            </w:r>
          </w:p>
        </w:tc>
      </w:tr>
      <w:tr>
        <w:tc>
          <w:tcPr>
            <w:tcW w:type="dxa" w:w="5112"/>
            <w:shd w:fill="D9EAF7"/>
            <w:vAlign w:val="top"/>
          </w:tcPr>
          <w:p>
            <w:r>
              <w:t>Article type</w:t>
            </w:r>
          </w:p>
        </w:tc>
        <w:tc>
          <w:tcPr>
            <w:tcW w:type="dxa" w:w="5112"/>
            <w:vAlign w:val="top"/>
          </w:tcPr>
          <w:p>
            <w:r>
              <w:t>How-to</w:t>
            </w:r>
          </w:p>
        </w:tc>
      </w:tr>
      <w:tr>
        <w:tc>
          <w:tcPr>
            <w:tcW w:type="dxa" w:w="5112"/>
            <w:shd w:fill="D9EAF7"/>
            <w:vAlign w:val="top"/>
          </w:tcPr>
          <w:p>
            <w:r>
              <w:t>Feature</w:t>
            </w:r>
          </w:p>
        </w:tc>
        <w:tc>
          <w:tcPr>
            <w:tcW w:type="dxa" w:w="5112"/>
            <w:vAlign w:val="top"/>
          </w:tcPr>
          <w:p>
            <w:r>
              <w:t>Quiz</w:t>
            </w:r>
          </w:p>
        </w:tc>
      </w:tr>
      <w:tr>
        <w:tc>
          <w:tcPr>
            <w:tcW w:type="dxa" w:w="5112"/>
            <w:shd w:fill="D9EAF7"/>
            <w:vAlign w:val="top"/>
          </w:tcPr>
          <w:p>
            <w:r>
              <w:t>Status</w:t>
            </w:r>
          </w:p>
        </w:tc>
        <w:tc>
          <w:tcPr>
            <w:tcW w:type="dxa" w:w="5112"/>
            <w:vAlign w:val="top"/>
          </w:tcPr>
          <w:p>
            <w:r>
              <w:t>Candidate normalized article</w:t>
            </w:r>
          </w:p>
        </w:tc>
      </w:tr>
      <w:tr>
        <w:tc>
          <w:tcPr>
            <w:tcW w:type="dxa" w:w="5112"/>
            <w:shd w:fill="D9EAF7"/>
            <w:vAlign w:val="top"/>
          </w:tcPr>
          <w:p>
            <w:r>
              <w:t>Source document</w:t>
            </w:r>
          </w:p>
        </w:tc>
        <w:tc>
          <w:tcPr>
            <w:tcW w:type="dxa" w:w="5112"/>
            <w:vAlign w:val="top"/>
          </w:tcPr>
          <w:p>
            <w:r>
              <w:t>EUSurvey_Quiz_Guide.pdf</w:t>
            </w:r>
          </w:p>
        </w:tc>
      </w:tr>
      <w:tr>
        <w:tc>
          <w:tcPr>
            <w:tcW w:type="dxa" w:w="5112"/>
            <w:shd w:fill="D9EAF7"/>
            <w:vAlign w:val="top"/>
          </w:tcPr>
          <w:p>
            <w:r>
              <w:t>Duplicate handling</w:t>
            </w:r>
          </w:p>
        </w:tc>
        <w:tc>
          <w:tcPr>
            <w:tcW w:type="dxa" w:w="5112"/>
            <w:vAlign w:val="top"/>
          </w:tcPr>
          <w:p>
            <w:r>
              <w:t>Created only where the guide adds specific guidance or detail; broad FAQ-only duplicates were not repeated.</w:t>
            </w:r>
          </w:p>
        </w:tc>
      </w:tr>
      <w:tr>
        <w:tc>
          <w:tcPr>
            <w:tcW w:type="dxa" w:w="5112"/>
            <w:shd w:fill="D9EAF7"/>
            <w:vAlign w:val="top"/>
          </w:tcPr>
          <w:p>
            <w:r>
              <w:t>Keywords</w:t>
            </w:r>
          </w:p>
        </w:tc>
        <w:tc>
          <w:tcPr>
            <w:tcW w:type="dxa" w:w="5112"/>
            <w:vAlign w:val="top"/>
          </w:tcPr>
          <w:p>
            <w:r>
              <w:t>single choice, quiz scoring, possible answers</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DBDD587-4921-43CB-8FA6-C379CB756E85}"/>
</file>

<file path=customXml/itemProps3.xml><?xml version="1.0" encoding="utf-8"?>
<ds:datastoreItem xmlns:ds="http://schemas.openxmlformats.org/officeDocument/2006/customXml" ds:itemID="{9A4C2994-3368-473B-BFA3-3D63E4B32461}"/>
</file>

<file path=customXml/itemProps4.xml><?xml version="1.0" encoding="utf-8"?>
<ds:datastoreItem xmlns:ds="http://schemas.openxmlformats.org/officeDocument/2006/customXml" ds:itemID="{F8023DCB-D134-44D6-871F-9FAAA87D615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