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UG-007 — How to configure number quiz questions</w:t>
      </w:r>
    </w:p>
    <w:p>
      <w:r>
        <w:rPr>
          <w:b/>
        </w:rPr>
        <w:t>Normalized EUSurvey KB article</w:t>
      </w:r>
    </w:p>
    <w:p>
      <w:r>
        <w:t>Source guide: EUSurvey_Quiz_Guide.pdf</w:t>
      </w:r>
    </w:p>
    <w:p>
      <w:pPr>
        <w:pStyle w:val="Heading2"/>
      </w:pPr>
      <w:r>
        <w:t>Purpose</w:t>
      </w:r>
    </w:p>
    <w:p>
      <w:r>
        <w:t>Explain how to configure scoring rules for numerical quiz answers.</w:t>
      </w:r>
    </w:p>
    <w:p>
      <w:pPr>
        <w:pStyle w:val="Heading2"/>
      </w:pPr>
      <w:r>
        <w:t>Applies to</w:t>
      </w:r>
    </w:p>
    <w:p>
      <w:pPr>
        <w:pStyle w:val="ListBullet"/>
      </w:pPr>
      <w:r>
        <w:t>Feature: Quiz questions</w:t>
      </w:r>
    </w:p>
    <w:p>
      <w:pPr>
        <w:pStyle w:val="ListBullet"/>
      </w:pPr>
      <w:r>
        <w:t>Question type: Number</w:t>
      </w:r>
    </w:p>
    <w:p>
      <w:pPr>
        <w:pStyle w:val="Heading2"/>
      </w:pPr>
      <w:r>
        <w:t>User question examples</w:t>
      </w:r>
    </w:p>
    <w:p>
      <w:pPr>
        <w:pStyle w:val="ListBullet"/>
      </w:pPr>
      <w:r>
        <w:t>How do I mark a number answer as correct in a quiz?</w:t>
      </w:r>
    </w:p>
    <w:p>
      <w:pPr>
        <w:pStyle w:val="ListBullet"/>
      </w:pPr>
      <w:r>
        <w:t>Can I score answers above or below a threshold?</w:t>
      </w:r>
    </w:p>
    <w:p>
      <w:pPr>
        <w:pStyle w:val="Heading2"/>
      </w:pPr>
      <w:r>
        <w:t>Direct answer</w:t>
      </w:r>
    </w:p>
    <w:p>
      <w:r>
        <w:t>Number quiz questions support numerical comparison rules. In addition to equal to and empty, you can use operators such as less than, less than or equal to, greater than, greater than or equal to, and between.</w:t>
      </w:r>
    </w:p>
    <w:p>
      <w:pPr>
        <w:pStyle w:val="Heading2"/>
      </w:pPr>
      <w:r>
        <w:t>Procedure / guidance</w:t>
      </w:r>
    </w:p>
    <w:p>
      <w:pPr>
        <w:pStyle w:val="ListNumber"/>
      </w:pPr>
      <w:r>
        <w:t>Select the number quiz question.</w:t>
      </w:r>
    </w:p>
    <w:p>
      <w:pPr>
        <w:pStyle w:val="ListNumber"/>
      </w:pPr>
      <w:r>
        <w:t>Open Quiz Properties.</w:t>
      </w:r>
    </w:p>
    <w:p>
      <w:pPr>
        <w:pStyle w:val="ListNumber"/>
      </w:pPr>
      <w:r>
        <w:t>Choose the rule in the Value is drop-down list.</w:t>
      </w:r>
    </w:p>
    <w:p>
      <w:pPr>
        <w:pStyle w:val="ListNumber"/>
      </w:pPr>
      <w:r>
        <w:t>Enter the comparison value or range.</w:t>
      </w:r>
    </w:p>
    <w:p>
      <w:pPr>
        <w:pStyle w:val="ListNumber"/>
      </w:pPr>
      <w:r>
        <w:t>Mark the answer rule as correct or incorrect.</w:t>
      </w:r>
    </w:p>
    <w:p>
      <w:pPr>
        <w:pStyle w:val="ListNumber"/>
      </w:pPr>
      <w:r>
        <w:t>Assign points and optional feedback.</w:t>
      </w:r>
    </w:p>
    <w:p>
      <w:pPr>
        <w:pStyle w:val="Heading2"/>
      </w:pPr>
      <w:r>
        <w:t>Important notes</w:t>
      </w:r>
    </w:p>
    <w:p>
      <w:pPr>
        <w:pStyle w:val="ListBullet"/>
      </w:pPr>
      <w:r>
        <w:t>Use “between” when an accepted numerical range should be scored as correct.</w:t>
      </w:r>
    </w:p>
    <w:p>
      <w:pPr>
        <w:pStyle w:val="Heading2"/>
      </w:pPr>
      <w:r>
        <w:t>Related articles</w:t>
      </w:r>
    </w:p>
    <w:p>
      <w:pPr>
        <w:pStyle w:val="ListBullet"/>
      </w:pPr>
      <w:r>
        <w:t>UG-004 — Configure free text quiz questions</w:t>
      </w:r>
    </w:p>
    <w:p>
      <w:pPr>
        <w:pStyle w:val="Heading2"/>
      </w:pPr>
      <w:r>
        <w:t>RAG metadata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t>Product</w:t>
            </w:r>
          </w:p>
        </w:tc>
        <w:tc>
          <w:tcPr>
            <w:tcW w:type="dxa" w:w="5112"/>
            <w:vAlign w:val="top"/>
          </w:tcPr>
          <w:p>
            <w:r>
              <w:t>EUSurvey</w:t>
            </w:r>
          </w:p>
        </w:tc>
      </w:tr>
      <w:tr>
        <w:tc>
          <w:tcPr>
            <w:tcW w:type="dxa" w:w="5112"/>
            <w:shd w:fill="D9EAF7"/>
            <w:vAlign w:val="top"/>
          </w:tcPr>
          <w:p>
            <w:r>
              <w:t>Audience</w:t>
            </w:r>
          </w:p>
        </w:tc>
        <w:tc>
          <w:tcPr>
            <w:tcW w:type="dxa" w:w="5112"/>
            <w:vAlign w:val="top"/>
          </w:tcPr>
          <w:p>
            <w:r>
              <w:t>Survey managers / form managers</w:t>
            </w:r>
          </w:p>
        </w:tc>
      </w:tr>
      <w:tr>
        <w:tc>
          <w:tcPr>
            <w:tcW w:type="dxa" w:w="5112"/>
            <w:shd w:fill="D9EAF7"/>
            <w:vAlign w:val="top"/>
          </w:tcPr>
          <w:p>
            <w:r>
              <w:t>Article type</w:t>
            </w:r>
          </w:p>
        </w:tc>
        <w:tc>
          <w:tcPr>
            <w:tcW w:type="dxa" w:w="5112"/>
            <w:vAlign w:val="top"/>
          </w:tcPr>
          <w:p>
            <w:r>
              <w:t>How-to</w:t>
            </w:r>
          </w:p>
        </w:tc>
      </w:tr>
      <w:tr>
        <w:tc>
          <w:tcPr>
            <w:tcW w:type="dxa" w:w="5112"/>
            <w:shd w:fill="D9EAF7"/>
            <w:vAlign w:val="top"/>
          </w:tcPr>
          <w:p>
            <w:r>
              <w:t>Feature</w:t>
            </w:r>
          </w:p>
        </w:tc>
        <w:tc>
          <w:tcPr>
            <w:tcW w:type="dxa" w:w="5112"/>
            <w:vAlign w:val="top"/>
          </w:tcPr>
          <w:p>
            <w:r>
              <w:t>Quiz</w:t>
            </w:r>
          </w:p>
        </w:tc>
      </w:tr>
      <w:tr>
        <w:tc>
          <w:tcPr>
            <w:tcW w:type="dxa" w:w="5112"/>
            <w:shd w:fill="D9EAF7"/>
            <w:vAlign w:val="top"/>
          </w:tcPr>
          <w:p>
            <w:r>
              <w:t>Status</w:t>
            </w:r>
          </w:p>
        </w:tc>
        <w:tc>
          <w:tcPr>
            <w:tcW w:type="dxa" w:w="5112"/>
            <w:vAlign w:val="top"/>
          </w:tcPr>
          <w:p>
            <w:r>
              <w:t>Candidate normalized article</w:t>
            </w:r>
          </w:p>
        </w:tc>
      </w:tr>
      <w:tr>
        <w:tc>
          <w:tcPr>
            <w:tcW w:type="dxa" w:w="5112"/>
            <w:shd w:fill="D9EAF7"/>
            <w:vAlign w:val="top"/>
          </w:tcPr>
          <w:p>
            <w:r>
              <w:t>Source document</w:t>
            </w:r>
          </w:p>
        </w:tc>
        <w:tc>
          <w:tcPr>
            <w:tcW w:type="dxa" w:w="5112"/>
            <w:vAlign w:val="top"/>
          </w:tcPr>
          <w:p>
            <w:r>
              <w:t>EUSurvey_Quiz_Guide.pdf</w:t>
            </w:r>
          </w:p>
        </w:tc>
      </w:tr>
      <w:tr>
        <w:tc>
          <w:tcPr>
            <w:tcW w:type="dxa" w:w="5112"/>
            <w:shd w:fill="D9EAF7"/>
            <w:vAlign w:val="top"/>
          </w:tcPr>
          <w:p>
            <w:r>
              <w:t>Duplicate handling</w:t>
            </w:r>
          </w:p>
        </w:tc>
        <w:tc>
          <w:tcPr>
            <w:tcW w:type="dxa" w:w="5112"/>
            <w:vAlign w:val="top"/>
          </w:tcPr>
          <w:p>
            <w:r>
              <w:t>Created only where the guide adds specific guidance or detail; broad FAQ-only duplicates were not repeated.</w:t>
            </w:r>
          </w:p>
        </w:tc>
      </w:tr>
      <w:tr>
        <w:tc>
          <w:tcPr>
            <w:tcW w:type="dxa" w:w="5112"/>
            <w:shd w:fill="D9EAF7"/>
            <w:vAlign w:val="top"/>
          </w:tcPr>
          <w:p>
            <w:r>
              <w:t>Keywords</w:t>
            </w:r>
          </w:p>
        </w:tc>
        <w:tc>
          <w:tcPr>
            <w:tcW w:type="dxa" w:w="5112"/>
            <w:vAlign w:val="top"/>
          </w:tcPr>
          <w:p>
            <w:r>
              <w:t>number quiz, numeric validation, between, greater than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E1D4C2D-EA68-4F8D-B10C-7820ED9E517B}"/>
</file>

<file path=customXml/itemProps3.xml><?xml version="1.0" encoding="utf-8"?>
<ds:datastoreItem xmlns:ds="http://schemas.openxmlformats.org/officeDocument/2006/customXml" ds:itemID="{C4735ADD-8F71-4DD5-9952-73F62C84A592}"/>
</file>

<file path=customXml/itemProps4.xml><?xml version="1.0" encoding="utf-8"?>
<ds:datastoreItem xmlns:ds="http://schemas.openxmlformats.org/officeDocument/2006/customXml" ds:itemID="{AAED9EF3-9006-4EAD-B9D7-F80B255C8F6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