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UG-019 — What is the URL prefill feature?</w:t>
      </w:r>
    </w:p>
    <w:p>
      <w:r>
        <w:rPr>
          <w:b/>
        </w:rPr>
        <w:t>Normalized EUSurvey KB article</w:t>
      </w:r>
    </w:p>
    <w:p>
      <w:r>
        <w:t>Source guide: User Guide URL Prefill.docx</w:t>
      </w:r>
    </w:p>
    <w:p>
      <w:pPr>
        <w:pStyle w:val="Heading2"/>
      </w:pPr>
      <w:r>
        <w:t>Purpose</w:t>
      </w:r>
    </w:p>
    <w:p>
      <w:r>
        <w:t>Explain the purpose and main use cases of URL prefill.</w:t>
      </w:r>
    </w:p>
    <w:p>
      <w:pPr>
        <w:pStyle w:val="Heading2"/>
      </w:pPr>
      <w:r>
        <w:t>Applies to</w:t>
      </w:r>
    </w:p>
    <w:p>
      <w:pPr>
        <w:pStyle w:val="ListBullet"/>
      </w:pPr>
      <w:r>
        <w:t>Feature: URL prefill</w:t>
      </w:r>
    </w:p>
    <w:p>
      <w:pPr>
        <w:pStyle w:val="ListBullet"/>
      </w:pPr>
      <w:r>
        <w:t>Role: Form manager</w:t>
      </w:r>
    </w:p>
    <w:p>
      <w:pPr>
        <w:pStyle w:val="Heading2"/>
      </w:pPr>
      <w:r>
        <w:t>User question examples</w:t>
      </w:r>
    </w:p>
    <w:p>
      <w:pPr>
        <w:pStyle w:val="ListBullet"/>
      </w:pPr>
      <w:r>
        <w:t>What is URL prefill?</w:t>
      </w:r>
    </w:p>
    <w:p>
      <w:pPr>
        <w:pStyle w:val="ListBullet"/>
      </w:pPr>
      <w:r>
        <w:t>Can I prefill answers using survey links?</w:t>
      </w:r>
    </w:p>
    <w:p>
      <w:pPr>
        <w:pStyle w:val="ListBullet"/>
      </w:pPr>
      <w:r>
        <w:t>Can URL prefill work with secured surveys?</w:t>
      </w:r>
    </w:p>
    <w:p>
      <w:pPr>
        <w:pStyle w:val="Heading2"/>
      </w:pPr>
      <w:r>
        <w:t>Direct answer</w:t>
      </w:r>
    </w:p>
    <w:p>
      <w:r>
        <w:t>URL prefill lets a form manager send personalized survey links where selected answers are already filled in, such as name, email address or internal categories. It can be used with open surveys, secured surveys, test pages and individual invitation links.</w:t>
      </w:r>
    </w:p>
    <w:p>
      <w:pPr>
        <w:pStyle w:val="Heading2"/>
      </w:pPr>
      <w:r>
        <w:t>Important notes</w:t>
      </w:r>
    </w:p>
    <w:p>
      <w:pPr>
        <w:pStyle w:val="ListBullet"/>
      </w:pPr>
      <w:r>
        <w:t>The feature works similarly to the Prefilling API Webservice but can be used through URL parameters.</w:t>
      </w:r>
    </w:p>
    <w:p>
      <w:pPr>
        <w:pStyle w:val="ListBullet"/>
      </w:pPr>
      <w:r>
        <w:t>Prefilled questions can be hidden so that values are submitted without being visible to the participant.</w:t>
      </w:r>
    </w:p>
    <w:p>
      <w:pPr>
        <w:pStyle w:val="Heading2"/>
      </w:pPr>
      <w:r>
        <w:t>Related articles</w:t>
      </w:r>
    </w:p>
    <w:p>
      <w:pPr>
        <w:pStyle w:val="ListBullet"/>
      </w:pPr>
      <w:r>
        <w:t>UG-021 — Build URL prefill links</w:t>
      </w:r>
    </w:p>
    <w:p>
      <w:pPr>
        <w:pStyle w:val="ListBullet"/>
      </w:pPr>
      <w:r>
        <w:t>UG-027 — Hide prefilled questions</w:t>
      </w:r>
    </w:p>
    <w:p>
      <w:pPr>
        <w:pStyle w:val="Heading2"/>
      </w:pPr>
      <w:r>
        <w:t>RAG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t>Product</w:t>
            </w:r>
          </w:p>
        </w:tc>
        <w:tc>
          <w:tcPr>
            <w:tcW w:type="dxa" w:w="5112"/>
            <w:vAlign w:val="top"/>
          </w:tcPr>
          <w:p>
            <w:r>
              <w:t>EUSurvey</w:t>
            </w:r>
          </w:p>
        </w:tc>
      </w:tr>
      <w:tr>
        <w:tc>
          <w:tcPr>
            <w:tcW w:type="dxa" w:w="5112"/>
            <w:shd w:fill="D9EAF7"/>
            <w:vAlign w:val="top"/>
          </w:tcPr>
          <w:p>
            <w:r>
              <w:t>Audience</w:t>
            </w:r>
          </w:p>
        </w:tc>
        <w:tc>
          <w:tcPr>
            <w:tcW w:type="dxa" w:w="5112"/>
            <w:vAlign w:val="top"/>
          </w:tcPr>
          <w:p>
            <w:r>
              <w:t>Survey managers / form managers</w:t>
            </w:r>
          </w:p>
        </w:tc>
      </w:tr>
      <w:tr>
        <w:tc>
          <w:tcPr>
            <w:tcW w:type="dxa" w:w="5112"/>
            <w:shd w:fill="D9EAF7"/>
            <w:vAlign w:val="top"/>
          </w:tcPr>
          <w:p>
            <w:r>
              <w:t>Article type</w:t>
            </w:r>
          </w:p>
        </w:tc>
        <w:tc>
          <w:tcPr>
            <w:tcW w:type="dxa" w:w="5112"/>
            <w:vAlign w:val="top"/>
          </w:tcPr>
          <w:p>
            <w:r>
              <w:t>Concept</w:t>
            </w:r>
          </w:p>
        </w:tc>
      </w:tr>
      <w:tr>
        <w:tc>
          <w:tcPr>
            <w:tcW w:type="dxa" w:w="5112"/>
            <w:shd w:fill="D9EAF7"/>
            <w:vAlign w:val="top"/>
          </w:tcPr>
          <w:p>
            <w:r>
              <w:t>Feature</w:t>
            </w:r>
          </w:p>
        </w:tc>
        <w:tc>
          <w:tcPr>
            <w:tcW w:type="dxa" w:w="5112"/>
            <w:vAlign w:val="top"/>
          </w:tcPr>
          <w:p>
            <w:r>
              <w:t>URL prefill</w:t>
            </w:r>
          </w:p>
        </w:tc>
      </w:tr>
      <w:tr>
        <w:tc>
          <w:tcPr>
            <w:tcW w:type="dxa" w:w="5112"/>
            <w:shd w:fill="D9EAF7"/>
            <w:vAlign w:val="top"/>
          </w:tcPr>
          <w:p>
            <w:r>
              <w:t>Status</w:t>
            </w:r>
          </w:p>
        </w:tc>
        <w:tc>
          <w:tcPr>
            <w:tcW w:type="dxa" w:w="5112"/>
            <w:vAlign w:val="top"/>
          </w:tcPr>
          <w:p>
            <w:r>
              <w:t>Candidate normalized article</w:t>
            </w:r>
          </w:p>
        </w:tc>
      </w:tr>
      <w:tr>
        <w:tc>
          <w:tcPr>
            <w:tcW w:type="dxa" w:w="5112"/>
            <w:shd w:fill="D9EAF7"/>
            <w:vAlign w:val="top"/>
          </w:tcPr>
          <w:p>
            <w:r>
              <w:t>Source document</w:t>
            </w:r>
          </w:p>
        </w:tc>
        <w:tc>
          <w:tcPr>
            <w:tcW w:type="dxa" w:w="5112"/>
            <w:vAlign w:val="top"/>
          </w:tcPr>
          <w:p>
            <w:r>
              <w:t>User Guide URL Prefill.docx</w:t>
            </w:r>
          </w:p>
        </w:tc>
      </w:tr>
      <w:tr>
        <w:tc>
          <w:tcPr>
            <w:tcW w:type="dxa" w:w="5112"/>
            <w:shd w:fill="D9EAF7"/>
            <w:vAlign w:val="top"/>
          </w:tcPr>
          <w:p>
            <w:r>
              <w:t>Duplicate handling</w:t>
            </w:r>
          </w:p>
        </w:tc>
        <w:tc>
          <w:tcPr>
            <w:tcW w:type="dxa" w:w="5112"/>
            <w:vAlign w:val="top"/>
          </w:tcPr>
          <w:p>
            <w:r>
              <w:t>Created only where the guide adds specific guidance or detail; broad FAQ-only duplicates were not repeated.</w:t>
            </w:r>
          </w:p>
        </w:tc>
      </w:tr>
      <w:tr>
        <w:tc>
          <w:tcPr>
            <w:tcW w:type="dxa" w:w="5112"/>
            <w:shd w:fill="D9EAF7"/>
            <w:vAlign w:val="top"/>
          </w:tcPr>
          <w:p>
            <w:r>
              <w:t>Keywords</w:t>
            </w:r>
          </w:p>
        </w:tc>
        <w:tc>
          <w:tcPr>
            <w:tcW w:type="dxa" w:w="5112"/>
            <w:vAlign w:val="top"/>
          </w:tcPr>
          <w:p>
            <w:r>
              <w:t>prefill, URL parameters, personalized links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ADB286E-D1E5-4E8F-9C7F-ECBB92814496}"/>
</file>

<file path=customXml/itemProps3.xml><?xml version="1.0" encoding="utf-8"?>
<ds:datastoreItem xmlns:ds="http://schemas.openxmlformats.org/officeDocument/2006/customXml" ds:itemID="{B219FEC4-33F3-40AE-9C7C-705B3FC47792}"/>
</file>

<file path=customXml/itemProps4.xml><?xml version="1.0" encoding="utf-8"?>
<ds:datastoreItem xmlns:ds="http://schemas.openxmlformats.org/officeDocument/2006/customXml" ds:itemID="{EB63A72D-E694-47F4-847B-6B3E2FB7CBA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