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UG-033 — Begin survey design from the intended results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should I start designing a survey?</w:t>
      </w:r>
    </w:p>
    <w:p>
      <w:pPr>
        <w:pStyle w:val="ListBullet"/>
      </w:pPr>
      <w:r>
        <w:t>What should I define before writing questions?</w:t>
      </w:r>
    </w:p>
    <w:p>
      <w:pPr>
        <w:pStyle w:val="Heading2"/>
      </w:pPr>
      <w:r>
        <w:t>Direct answer</w:t>
      </w:r>
    </w:p>
    <w:p>
      <w:r>
        <w:t>Before creating a survey, define why the survey is needed, who will work with it, what data is required, what will be done with the results and how the results should be presented.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survey planning, results, data needs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43F08A-6BE6-4566-829D-9BB184A7EE90}"/>
</file>

<file path=customXml/itemProps3.xml><?xml version="1.0" encoding="utf-8"?>
<ds:datastoreItem xmlns:ds="http://schemas.openxmlformats.org/officeDocument/2006/customXml" ds:itemID="{C1B52CA2-6AEA-4DB3-AAE1-DC00BFA585FD}"/>
</file>

<file path=customXml/itemProps4.xml><?xml version="1.0" encoding="utf-8"?>
<ds:datastoreItem xmlns:ds="http://schemas.openxmlformats.org/officeDocument/2006/customXml" ds:itemID="{1FC151B3-6DBC-4713-905B-FBA1CADF43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