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UG-034 — Keep surveys short and simple</w:t>
      </w:r>
    </w:p>
    <w:p>
      <w:r>
        <w:rPr>
          <w:b/>
        </w:rPr>
        <w:t>Normalized EUSurvey KB article</w:t>
      </w:r>
    </w:p>
    <w:p>
      <w:r>
        <w:t>Source guide: BestPractices-EUSurvey.pdf / EUSurvey - Best practices.docx</w:t>
      </w:r>
    </w:p>
    <w:p>
      <w:pPr>
        <w:pStyle w:val="Heading2"/>
      </w:pPr>
      <w:r>
        <w:t>Purpose</w:t>
      </w:r>
    </w:p>
    <w:p>
      <w:r>
        <w:t>Convert an EUSurvey best-practice recommendation into a practical KB article.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Survey design best practices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long should my survey be?</w:t>
      </w:r>
    </w:p>
    <w:p>
      <w:pPr>
        <w:pStyle w:val="ListBullet"/>
      </w:pPr>
      <w:r>
        <w:t>How do I keep a survey easy to answer?</w:t>
      </w:r>
    </w:p>
    <w:p>
      <w:pPr>
        <w:pStyle w:val="Heading2"/>
      </w:pPr>
      <w:r>
        <w:t>Direct answer</w:t>
      </w:r>
    </w:p>
    <w:p>
      <w:r>
        <w:t>A good survey should be short, simple and understandable. As a rule of thumb, aim for a completion time of about 5 to 10 minutes.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This recommendation comes from the EUSurvey best-practices guidance.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UG-042 — Keep surveys short and simple</w:t>
      </w:r>
    </w:p>
    <w:p>
      <w:pPr>
        <w:pStyle w:val="ListBullet"/>
      </w:pPr>
      <w:r>
        <w:t>UG-051 — Test the survey before publishing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Guidance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Survey design best practices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BestPractices-EUSurvey.pdf / EUSurvey - Best practices.docx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KISS, short survey, simple questions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AFFC5A-2B9B-4B7E-BB5A-7FD859B29A90}"/>
</file>

<file path=customXml/itemProps3.xml><?xml version="1.0" encoding="utf-8"?>
<ds:datastoreItem xmlns:ds="http://schemas.openxmlformats.org/officeDocument/2006/customXml" ds:itemID="{74BF2DED-2000-4811-98BE-44DBB21B5647}"/>
</file>

<file path=customXml/itemProps4.xml><?xml version="1.0" encoding="utf-8"?>
<ds:datastoreItem xmlns:ds="http://schemas.openxmlformats.org/officeDocument/2006/customXml" ds:itemID="{928B5518-8948-43CE-A902-267D418DEE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