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UG-035 — Provide background information to participants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background information should I give participants?</w:t>
      </w:r>
    </w:p>
    <w:p>
      <w:pPr>
        <w:pStyle w:val="ListBullet"/>
      </w:pPr>
      <w:r>
        <w:t>Should I explain how survey results will be used?</w:t>
      </w:r>
    </w:p>
    <w:p>
      <w:pPr>
        <w:pStyle w:val="Heading2"/>
      </w:pPr>
      <w:r>
        <w:t>Direct answer</w:t>
      </w:r>
    </w:p>
    <w:p>
      <w:r>
        <w:t>Tell participants what will happen with the survey results, whether and where results will be published, and the timeframe of the survey.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background information, results publication, timeframe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3DF509-80DC-44C1-920C-0E69C9B20709}"/>
</file>

<file path=customXml/itemProps3.xml><?xml version="1.0" encoding="utf-8"?>
<ds:datastoreItem xmlns:ds="http://schemas.openxmlformats.org/officeDocument/2006/customXml" ds:itemID="{99D0598B-CA78-49A8-8CAF-744FC95C25D2}"/>
</file>

<file path=customXml/itemProps4.xml><?xml version="1.0" encoding="utf-8"?>
<ds:datastoreItem xmlns:ds="http://schemas.openxmlformats.org/officeDocument/2006/customXml" ds:itemID="{6C3B8785-6B67-4DA9-A02D-1351E2FC73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