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UG-036 — Use understandable language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make survey wording clearer?</w:t>
      </w:r>
    </w:p>
    <w:p>
      <w:pPr>
        <w:pStyle w:val="ListBullet"/>
      </w:pPr>
      <w:r>
        <w:t>Should I use internal abbreviations?</w:t>
      </w:r>
    </w:p>
    <w:p>
      <w:pPr>
        <w:pStyle w:val="Heading2"/>
      </w:pPr>
      <w:r>
        <w:t>Direct answer</w:t>
      </w:r>
    </w:p>
    <w:p>
      <w:r>
        <w:t>Avoid jargon, internal abbreviations and wording that the public may not understand. Use a clear and attractive survey title.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Test the survey before publishing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plain language, jargon, survey title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2F2CB8-1642-4948-82A4-802C56B9976B}"/>
</file>

<file path=customXml/itemProps3.xml><?xml version="1.0" encoding="utf-8"?>
<ds:datastoreItem xmlns:ds="http://schemas.openxmlformats.org/officeDocument/2006/customXml" ds:itemID="{A2F794BE-7AE4-41CD-86C5-BF0C440C415E}"/>
</file>

<file path=customXml/itemProps4.xml><?xml version="1.0" encoding="utf-8"?>
<ds:datastoreItem xmlns:ds="http://schemas.openxmlformats.org/officeDocument/2006/customXml" ds:itemID="{6036FA49-E37E-4041-820F-09F82B4F4D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