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UG-037 — Order questions from easy to sensitive</w:t>
      </w:r>
    </w:p>
    <w:p>
      <w:r>
        <w:rPr>
          <w:b/>
        </w:rPr>
        <w:t>Normalized EUSurvey KB article</w:t>
      </w:r>
    </w:p>
    <w:p>
      <w:r>
        <w:t>Source guide: BestPractices-EUSurvey.pdf / EUSurvey - Best practices.docx</w:t>
      </w:r>
    </w:p>
    <w:p>
      <w:pPr>
        <w:pStyle w:val="Heading2"/>
      </w:pPr>
      <w:r>
        <w:t>Purpose</w:t>
      </w:r>
    </w:p>
    <w:p>
      <w:r>
        <w:t>Convert an EUSurvey best-practice recommendation into a practical KB article.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Survey design best practices</w:t>
      </w:r>
    </w:p>
    <w:p>
      <w:pPr>
        <w:pStyle w:val="ListBullet"/>
      </w:pPr>
      <w:r>
        <w:t>Role: Form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should I order survey questions?</w:t>
      </w:r>
    </w:p>
    <w:p>
      <w:pPr>
        <w:pStyle w:val="ListBullet"/>
      </w:pPr>
      <w:r>
        <w:t>Where should sensitive questions appear?</w:t>
      </w:r>
    </w:p>
    <w:p>
      <w:pPr>
        <w:pStyle w:val="Heading2"/>
      </w:pPr>
      <w:r>
        <w:t>Direct answer</w:t>
      </w:r>
    </w:p>
    <w:p>
      <w:r>
        <w:t>Start with easy questions and place complicated or sensitive questions later. This helps participants continue with the survey.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This recommendation comes from the EUSurvey best-practices guidance.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UG-042 — Keep surveys short and simple</w:t>
      </w:r>
    </w:p>
    <w:p>
      <w:pPr>
        <w:pStyle w:val="ListBullet"/>
      </w:pPr>
      <w:r>
        <w:t>UG-051 — Test the survey before publishing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Guidance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Survey design best practices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BestPractices-EUSurvey.pdf / EUSurvey - Best practices.docx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question order, sensitive questions, crescendo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B2AFD6-F81C-4354-A423-58711508FD99}"/>
</file>

<file path=customXml/itemProps3.xml><?xml version="1.0" encoding="utf-8"?>
<ds:datastoreItem xmlns:ds="http://schemas.openxmlformats.org/officeDocument/2006/customXml" ds:itemID="{B5119B0F-1550-4056-8367-D0239A2965E7}"/>
</file>

<file path=customXml/itemProps4.xml><?xml version="1.0" encoding="utf-8"?>
<ds:datastoreItem xmlns:ds="http://schemas.openxmlformats.org/officeDocument/2006/customXml" ds:itemID="{D4A590B9-5B6B-44FB-A9CD-7D36F1FDD5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