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UG-038 — Inform participants about privacy and personal data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Do I need to mention privacy in my survey?</w:t>
      </w:r>
    </w:p>
    <w:p>
      <w:pPr>
        <w:pStyle w:val="ListBullet"/>
      </w:pPr>
      <w:r>
        <w:t>When should I include a privacy statement?</w:t>
      </w:r>
    </w:p>
    <w:p>
      <w:pPr>
        <w:pStyle w:val="Heading2"/>
      </w:pPr>
      <w:r>
        <w:t>Direct answer</w:t>
      </w:r>
    </w:p>
    <w:p>
      <w:r>
        <w:t>If the survey asks for personal information, tell participants about the personal data collection and include a privacy statement where necessary.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Test the survey before publishing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privacy, personal data, privacy statement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8F4AAA-6265-493E-8D81-DB2021A243FE}"/>
</file>

<file path=customXml/itemProps3.xml><?xml version="1.0" encoding="utf-8"?>
<ds:datastoreItem xmlns:ds="http://schemas.openxmlformats.org/officeDocument/2006/customXml" ds:itemID="{61BE8B94-ACD7-447A-BA3E-B681E730990F}"/>
</file>

<file path=customXml/itemProps4.xml><?xml version="1.0" encoding="utf-8"?>
<ds:datastoreItem xmlns:ds="http://schemas.openxmlformats.org/officeDocument/2006/customXml" ds:itemID="{7903EF76-39FD-4712-8BC6-4A0037057C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