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UG-039 — Match the question style to the data needed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choose the right question type?</w:t>
      </w:r>
    </w:p>
    <w:p>
      <w:pPr>
        <w:pStyle w:val="ListBullet"/>
      </w:pPr>
      <w:r>
        <w:t>How should I design scales and answer options?</w:t>
      </w:r>
    </w:p>
    <w:p>
      <w:pPr>
        <w:pStyle w:val="Heading2"/>
      </w:pPr>
      <w:r>
        <w:t>Direct answer</w:t>
      </w:r>
    </w:p>
    <w:p>
      <w:r>
        <w:t>Choose question types according to the data you need. Ask one thing per question, use balanced scales, provide answer options, and add text boxes for explanations such as Other.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question type, scales, other option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491D6-3670-4EAE-82BA-36B6997DD694}"/>
</file>

<file path=customXml/itemProps3.xml><?xml version="1.0" encoding="utf-8"?>
<ds:datastoreItem xmlns:ds="http://schemas.openxmlformats.org/officeDocument/2006/customXml" ds:itemID="{07F143DE-BF5A-48B3-BF94-B6316AF8F34D}"/>
</file>

<file path=customXml/itemProps4.xml><?xml version="1.0" encoding="utf-8"?>
<ds:datastoreItem xmlns:ds="http://schemas.openxmlformats.org/officeDocument/2006/customXml" ds:itemID="{721E4B95-72AF-4631-9837-DCAE4551EE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