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UG-040 — Limit open-ended questions</w:t>
      </w:r>
    </w:p>
    <w:p>
      <w:r>
        <w:rPr>
          <w:b/>
        </w:rPr>
        <w:t>Normalized EUSurvey KB article</w:t>
      </w:r>
    </w:p>
    <w:p>
      <w:r>
        <w:t>Source guide: BestPractices-EUSurvey.pdf / EUSurvey - Best practices.docx</w:t>
      </w:r>
    </w:p>
    <w:p>
      <w:pPr>
        <w:pStyle w:val="Heading2"/>
      </w:pPr>
      <w:r>
        <w:t>Purpose</w:t>
      </w:r>
    </w:p>
    <w:p>
      <w:r>
        <w:t>Convert an EUSurvey best-practice recommendation into a practical KB article.</w:t>
      </w:r>
    </w:p>
    <w:p>
      <w:pPr>
        <w:pStyle w:val="Heading2"/>
      </w:pPr>
      <w:r>
        <w:t>Applies to</w:t>
      </w:r>
    </w:p>
    <w:p>
      <w:pPr>
        <w:pStyle w:val="ListBullet"/>
      </w:pPr>
      <w:r>
        <w:t>Feature: Survey design best practices</w:t>
      </w:r>
    </w:p>
    <w:p>
      <w:pPr>
        <w:pStyle w:val="ListBullet"/>
      </w:pPr>
      <w:r>
        <w:t>Role: Form manager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Should I use many open-ended questions?</w:t>
      </w:r>
    </w:p>
    <w:p>
      <w:pPr>
        <w:pStyle w:val="ListBullet"/>
      </w:pPr>
      <w:r>
        <w:t>How can I make survey results easier to analyse?</w:t>
      </w:r>
    </w:p>
    <w:p>
      <w:pPr>
        <w:pStyle w:val="Heading2"/>
      </w:pPr>
      <w:r>
        <w:t>Direct answer</w:t>
      </w:r>
    </w:p>
    <w:p>
      <w:r>
        <w:t>Limit open-ended questions because they are harder to analyse. Use list or choice questions where possible to speed up analysis.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This recommendation comes from the EUSurvey best-practices guidance.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UG-042 — Keep surveys short and simple</w:t>
      </w:r>
    </w:p>
    <w:p>
      <w:pPr>
        <w:pStyle w:val="ListBullet"/>
      </w:pPr>
      <w:r>
        <w:t>UG-051 — Test the survey before publishing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r>
              <w:t>Product</w:t>
            </w:r>
          </w:p>
        </w:tc>
        <w:tc>
          <w:tcPr>
            <w:tcW w:type="dxa" w:w="5112"/>
            <w:vAlign w:val="top"/>
          </w:tcPr>
          <w:p>
            <w:r>
              <w:t>EUSurvey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Audience</w:t>
            </w:r>
          </w:p>
        </w:tc>
        <w:tc>
          <w:tcPr>
            <w:tcW w:type="dxa" w:w="5112"/>
            <w:vAlign w:val="top"/>
          </w:tcPr>
          <w:p>
            <w:r>
              <w:t>Survey managers / form managers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Article type</w:t>
            </w:r>
          </w:p>
        </w:tc>
        <w:tc>
          <w:tcPr>
            <w:tcW w:type="dxa" w:w="5112"/>
            <w:vAlign w:val="top"/>
          </w:tcPr>
          <w:p>
            <w:r>
              <w:t>Guidance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Feature</w:t>
            </w:r>
          </w:p>
        </w:tc>
        <w:tc>
          <w:tcPr>
            <w:tcW w:type="dxa" w:w="5112"/>
            <w:vAlign w:val="top"/>
          </w:tcPr>
          <w:p>
            <w:r>
              <w:t>Survey design best practices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Candidate normalized article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Source document</w:t>
            </w:r>
          </w:p>
        </w:tc>
        <w:tc>
          <w:tcPr>
            <w:tcW w:type="dxa" w:w="5112"/>
            <w:vAlign w:val="top"/>
          </w:tcPr>
          <w:p>
            <w:r>
              <w:t>BestPractices-EUSurvey.pdf / EUSurvey - Best practices.docx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Duplicate handling</w:t>
            </w:r>
          </w:p>
        </w:tc>
        <w:tc>
          <w:tcPr>
            <w:tcW w:type="dxa" w:w="5112"/>
            <w:vAlign w:val="top"/>
          </w:tcPr>
          <w:p>
            <w:r>
              <w:t>Created only where the guide adds specific guidance or detail; broad FAQ-only duplicates were not repeated.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Keywords</w:t>
            </w:r>
          </w:p>
        </w:tc>
        <w:tc>
          <w:tcPr>
            <w:tcW w:type="dxa" w:w="5112"/>
            <w:vAlign w:val="top"/>
          </w:tcPr>
          <w:p>
            <w:r>
              <w:t>open-ended questions, analysis, choice questions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6CB4547-FE8F-4C97-8A39-FC27E1F25E8C}"/>
</file>

<file path=customXml/itemProps3.xml><?xml version="1.0" encoding="utf-8"?>
<ds:datastoreItem xmlns:ds="http://schemas.openxmlformats.org/officeDocument/2006/customXml" ds:itemID="{9503D351-C77D-43EC-A5E3-45DB3B21BE9B}"/>
</file>

<file path=customXml/itemProps4.xml><?xml version="1.0" encoding="utf-8"?>
<ds:datastoreItem xmlns:ds="http://schemas.openxmlformats.org/officeDocument/2006/customXml" ds:itemID="{ED04C0A4-E054-4CA2-BE63-2DD69FC9DF6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