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UG-042 — Test the survey before publishing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Why should I test my survey before publishing?</w:t>
      </w:r>
    </w:p>
    <w:p>
      <w:pPr>
        <w:pStyle w:val="ListBullet"/>
      </w:pPr>
      <w:r>
        <w:t>Who should test the survey?</w:t>
      </w:r>
    </w:p>
    <w:p>
      <w:pPr>
        <w:pStyle w:val="Heading2"/>
      </w:pPr>
      <w:r>
        <w:t>Direct answer</w:t>
      </w:r>
    </w:p>
    <w:p>
      <w:r>
        <w:t>Before publishing, test whether the survey is understandable and whether the collected results match your needs. Ask colleagues to test it and provide feedback.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testing, feedback, before publishing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4EA352-9D8B-4991-A1C5-8E06C2A8EBE9}"/>
</file>

<file path=customXml/itemProps3.xml><?xml version="1.0" encoding="utf-8"?>
<ds:datastoreItem xmlns:ds="http://schemas.openxmlformats.org/officeDocument/2006/customXml" ds:itemID="{91C7024F-39A9-44CA-BFA8-041C60D3257F}"/>
</file>

<file path=customXml/itemProps4.xml><?xml version="1.0" encoding="utf-8"?>
<ds:datastoreItem xmlns:ds="http://schemas.openxmlformats.org/officeDocument/2006/customXml" ds:itemID="{2A94AB24-7D0C-4306-AF98-C68AE2BB3A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