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UG-043 — How the EUSurvey editor workspace is organised</w:t>
      </w:r>
    </w:p>
    <w:p>
      <w:r>
        <w:rPr>
          <w:b/>
        </w:rPr>
        <w:t>Normalized EUSurvey KB article</w:t>
      </w:r>
    </w:p>
    <w:p>
      <w:r>
        <w:t>Source guide: Editor_Guide(0).pdf / EUSURVEY_QUICK_START_GUIDE.pdf</w:t>
      </w:r>
    </w:p>
    <w:p>
      <w:pPr>
        <w:pStyle w:val="Heading2"/>
      </w:pPr>
      <w:r>
        <w:t>Purpose</w:t>
      </w:r>
    </w:p>
    <w:p>
      <w:r>
        <w:t>Provide a concise overview of the five main editor areas for survey managers.</w:t>
      </w:r>
    </w:p>
    <w:p>
      <w:pPr>
        <w:pStyle w:val="Heading2"/>
      </w:pPr>
      <w:r>
        <w:t>Applies to</w:t>
      </w:r>
    </w:p>
    <w:p>
      <w:pPr>
        <w:pStyle w:val="ListBullet"/>
      </w:pPr>
      <w:r>
        <w:t>Feature: Editor</w:t>
      </w:r>
    </w:p>
    <w:p>
      <w:pPr>
        <w:pStyle w:val="ListBullet"/>
      </w:pPr>
      <w:r>
        <w:t>Role: Form manager</w:t>
      </w:r>
    </w:p>
    <w:p>
      <w:pPr>
        <w:pStyle w:val="Heading2"/>
      </w:pPr>
      <w:r>
        <w:t>User question examples</w:t>
      </w:r>
    </w:p>
    <w:p>
      <w:pPr>
        <w:pStyle w:val="ListBullet"/>
      </w:pPr>
      <w:r>
        <w:t>What are the main areas of the EUSurvey editor?</w:t>
      </w:r>
    </w:p>
    <w:p>
      <w:pPr>
        <w:pStyle w:val="ListBullet"/>
      </w:pPr>
      <w:r>
        <w:t>Where do I add and edit questions?</w:t>
      </w:r>
    </w:p>
    <w:p>
      <w:pPr>
        <w:pStyle w:val="Heading2"/>
      </w:pPr>
      <w:r>
        <w:t>Direct answer</w:t>
      </w:r>
    </w:p>
    <w:p>
      <w:r>
        <w:t>The editor workspace contains five main areas: Navigation pane, Toolbox pane, Form area, Element properties pane and Toolbar. Together, these areas let form managers structure the questionnaire, add elements, preview them, edit settings and perform basic editing tasks.</w:t>
      </w:r>
    </w:p>
    <w:p>
      <w:pPr>
        <w:pStyle w:val="Heading2"/>
      </w:pPr>
      <w:r>
        <w:t>Important notes</w:t>
      </w:r>
    </w:p>
    <w:p>
      <w:pPr>
        <w:pStyle w:val="ListBullet"/>
      </w:pPr>
      <w:r>
        <w:t>This article is intended as a richer replacement for broad editor overview content and avoids repeating basic login or survey creation guidance.</w:t>
      </w:r>
    </w:p>
    <w:p>
      <w:pPr>
        <w:pStyle w:val="Heading2"/>
      </w:pPr>
      <w:r>
        <w:t>Related articles</w:t>
      </w:r>
    </w:p>
    <w:p>
      <w:pPr>
        <w:pStyle w:val="ListBullet"/>
      </w:pPr>
      <w:r>
        <w:t>UG-044 — Use the navigation pane</w:t>
      </w:r>
    </w:p>
    <w:p>
      <w:pPr>
        <w:pStyle w:val="ListBullet"/>
      </w:pPr>
      <w:r>
        <w:t>UG-045 — Add elements using toolbox and form area</w:t>
      </w:r>
    </w:p>
    <w:p>
      <w:pPr>
        <w:pStyle w:val="ListBullet"/>
      </w:pPr>
      <w:r>
        <w:t>UG-046 — Edit element properties</w:t>
      </w:r>
    </w:p>
    <w:p>
      <w:pPr>
        <w:pStyle w:val="Heading2"/>
      </w:pPr>
      <w:r>
        <w:t>RAG metadata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Pr>
          <w:p>
            <w:r>
              <w:t>Product</w:t>
            </w:r>
          </w:p>
        </w:tc>
        <w:tc>
          <w:tcPr>
            <w:tcW w:type="dxa" w:w="5112"/>
            <w:vAlign w:val="top"/>
          </w:tcPr>
          <w:p>
            <w:r>
              <w:t>EUSurvey</w:t>
            </w:r>
          </w:p>
        </w:tc>
      </w:tr>
      <w:tr>
        <w:tc>
          <w:tcPr>
            <w:tcW w:type="dxa" w:w="5112"/>
            <w:shd w:fill="D9EAF7"/>
            <w:vAlign w:val="top"/>
          </w:tcPr>
          <w:p>
            <w:r>
              <w:t>Audience</w:t>
            </w:r>
          </w:p>
        </w:tc>
        <w:tc>
          <w:tcPr>
            <w:tcW w:type="dxa" w:w="5112"/>
            <w:vAlign w:val="top"/>
          </w:tcPr>
          <w:p>
            <w:r>
              <w:t>Survey managers / form managers</w:t>
            </w:r>
          </w:p>
        </w:tc>
      </w:tr>
      <w:tr>
        <w:tc>
          <w:tcPr>
            <w:tcW w:type="dxa" w:w="5112"/>
            <w:shd w:fill="D9EAF7"/>
            <w:vAlign w:val="top"/>
          </w:tcPr>
          <w:p>
            <w:r>
              <w:t>Article type</w:t>
            </w:r>
          </w:p>
        </w:tc>
        <w:tc>
          <w:tcPr>
            <w:tcW w:type="dxa" w:w="5112"/>
            <w:vAlign w:val="top"/>
          </w:tcPr>
          <w:p>
            <w:r>
              <w:t>Concept</w:t>
            </w:r>
          </w:p>
        </w:tc>
      </w:tr>
      <w:tr>
        <w:tc>
          <w:tcPr>
            <w:tcW w:type="dxa" w:w="5112"/>
            <w:shd w:fill="D9EAF7"/>
            <w:vAlign w:val="top"/>
          </w:tcPr>
          <w:p>
            <w:r>
              <w:t>Feature</w:t>
            </w:r>
          </w:p>
        </w:tc>
        <w:tc>
          <w:tcPr>
            <w:tcW w:type="dxa" w:w="5112"/>
            <w:vAlign w:val="top"/>
          </w:tcPr>
          <w:p>
            <w:r>
              <w:t>Editor</w:t>
            </w:r>
          </w:p>
        </w:tc>
      </w:tr>
      <w:tr>
        <w:tc>
          <w:tcPr>
            <w:tcW w:type="dxa" w:w="5112"/>
            <w:shd w:fill="D9EAF7"/>
            <w:vAlign w:val="top"/>
          </w:tcPr>
          <w:p>
            <w:r>
              <w:t>Status</w:t>
            </w:r>
          </w:p>
        </w:tc>
        <w:tc>
          <w:tcPr>
            <w:tcW w:type="dxa" w:w="5112"/>
            <w:vAlign w:val="top"/>
          </w:tcPr>
          <w:p>
            <w:r>
              <w:t>Candidate normalized article</w:t>
            </w:r>
          </w:p>
        </w:tc>
      </w:tr>
      <w:tr>
        <w:tc>
          <w:tcPr>
            <w:tcW w:type="dxa" w:w="5112"/>
            <w:shd w:fill="D9EAF7"/>
            <w:vAlign w:val="top"/>
          </w:tcPr>
          <w:p>
            <w:r>
              <w:t>Source document</w:t>
            </w:r>
          </w:p>
        </w:tc>
        <w:tc>
          <w:tcPr>
            <w:tcW w:type="dxa" w:w="5112"/>
            <w:vAlign w:val="top"/>
          </w:tcPr>
          <w:p>
            <w:r>
              <w:t>Editor_Guide(0).pdf / EUSURVEY_QUICK_START_GUIDE.pdf</w:t>
            </w:r>
          </w:p>
        </w:tc>
      </w:tr>
      <w:tr>
        <w:tc>
          <w:tcPr>
            <w:tcW w:type="dxa" w:w="5112"/>
            <w:shd w:fill="D9EAF7"/>
            <w:vAlign w:val="top"/>
          </w:tcPr>
          <w:p>
            <w:r>
              <w:t>Duplicate handling</w:t>
            </w:r>
          </w:p>
        </w:tc>
        <w:tc>
          <w:tcPr>
            <w:tcW w:type="dxa" w:w="5112"/>
            <w:vAlign w:val="top"/>
          </w:tcPr>
          <w:p>
            <w:r>
              <w:t>Created only where the guide adds specific guidance or detail; broad FAQ-only duplicates were not repeated.</w:t>
            </w:r>
          </w:p>
        </w:tc>
      </w:tr>
      <w:tr>
        <w:tc>
          <w:tcPr>
            <w:tcW w:type="dxa" w:w="5112"/>
            <w:shd w:fill="D9EAF7"/>
            <w:vAlign w:val="top"/>
          </w:tcPr>
          <w:p>
            <w:r>
              <w:t>Keywords</w:t>
            </w:r>
          </w:p>
        </w:tc>
        <w:tc>
          <w:tcPr>
            <w:tcW w:type="dxa" w:w="5112"/>
            <w:vAlign w:val="top"/>
          </w:tcPr>
          <w:p>
            <w:r>
              <w:t>editor, navigation pane, toolbox, form area, properties, toolbar</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91FA38-541E-4067-A521-37B3226797EF}"/>
</file>

<file path=customXml/itemProps3.xml><?xml version="1.0" encoding="utf-8"?>
<ds:datastoreItem xmlns:ds="http://schemas.openxmlformats.org/officeDocument/2006/customXml" ds:itemID="{DAC5141E-3442-4D6B-9C0B-243CD88A962B}"/>
</file>

<file path=customXml/itemProps4.xml><?xml version="1.0" encoding="utf-8"?>
<ds:datastoreItem xmlns:ds="http://schemas.openxmlformats.org/officeDocument/2006/customXml" ds:itemID="{D9D3148D-B358-4CDF-8241-55C29875B98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