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UG-048 — How to use the editor toolbar</w:t>
      </w:r>
    </w:p>
    <w:p>
      <w:r>
        <w:rPr>
          <w:b/>
        </w:rPr>
        <w:t>Normalized EUSurvey KB article</w:t>
      </w:r>
    </w:p>
    <w:p>
      <w:r>
        <w:t>Source guide: Editor_Guide(0).pdf / EUSURVEY_QUICK_START_GUIDE.pdf</w:t>
      </w:r>
    </w:p>
    <w:p>
      <w:pPr>
        <w:pStyle w:val="Heading2"/>
      </w:pPr>
      <w:r>
        <w:t>Purpose</w:t>
      </w:r>
    </w:p>
    <w:p>
      <w:r>
        <w:t>Summarize the main toolbar actions.</w:t>
      </w:r>
    </w:p>
    <w:p>
      <w:pPr>
        <w:pStyle w:val="Heading2"/>
      </w:pPr>
      <w:r>
        <w:t>Applies to</w:t>
      </w:r>
    </w:p>
    <w:p>
      <w:pPr>
        <w:pStyle w:val="ListBullet"/>
      </w:pPr>
      <w:r>
        <w:t>Feature: Editor</w:t>
      </w:r>
    </w:p>
    <w:p>
      <w:pPr>
        <w:pStyle w:val="ListBullet"/>
      </w:pPr>
      <w:r>
        <w:t>Area: Toolbar</w:t>
      </w:r>
    </w:p>
    <w:p>
      <w:pPr>
        <w:pStyle w:val="Heading2"/>
      </w:pPr>
      <w:r>
        <w:t>User question examples</w:t>
      </w:r>
    </w:p>
    <w:p>
      <w:pPr>
        <w:pStyle w:val="ListBullet"/>
      </w:pPr>
      <w:r>
        <w:t>What is the toolbar used for?</w:t>
      </w:r>
    </w:p>
    <w:p>
      <w:pPr>
        <w:pStyle w:val="ListBullet"/>
      </w:pPr>
      <w:r>
        <w:t>How do I show or hide editor panes?</w:t>
      </w:r>
    </w:p>
    <w:p>
      <w:pPr>
        <w:pStyle w:val="Heading2"/>
      </w:pPr>
      <w:r>
        <w:t>Direct answer</w:t>
      </w:r>
    </w:p>
    <w:p>
      <w:r>
        <w:t>The toolbar provides common editing actions such as multiple selection, undo, redo, copy, cut, paste after, move up or down and delete. It also contains controls for showing or hiding editor panes and visualising dependencies.</w:t>
      </w:r>
    </w:p>
    <w:p>
      <w:pPr>
        <w:pStyle w:val="Heading2"/>
      </w:pPr>
      <w:r>
        <w:t>Important notes</w:t>
      </w:r>
    </w:p>
    <w:p>
      <w:pPr>
        <w:pStyle w:val="ListBullet"/>
      </w:pPr>
      <w:r>
        <w:t>Use pane visibility buttons when you need more space to edit the questionnaire.</w:t>
      </w:r>
    </w:p>
    <w:p>
      <w:pPr>
        <w:pStyle w:val="ListBullet"/>
      </w:pPr>
      <w:r>
        <w:t>Use Visualise visibility to inspect dependency links.</w:t>
      </w:r>
    </w:p>
    <w:p>
      <w:pPr>
        <w:pStyle w:val="Heading2"/>
      </w:pPr>
      <w:r>
        <w:t>Related articles</w:t>
      </w:r>
    </w:p>
    <w:p>
      <w:pPr>
        <w:pStyle w:val="ListBullet"/>
      </w:pPr>
      <w:r>
        <w:t>UG-050 — Copy, move and delete elements</w:t>
      </w:r>
    </w:p>
    <w:p>
      <w:pPr>
        <w:pStyle w:val="ListBullet"/>
      </w:pPr>
      <w:r>
        <w:t>UG-056 — Use dependencies</w:t>
      </w:r>
    </w:p>
    <w:p>
      <w:pPr>
        <w:pStyle w:val="Heading2"/>
      </w:pPr>
      <w:r>
        <w:t>RAG metadata</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Pr>
          <w:p>
            <w:r>
              <w:t>Product</w:t>
            </w:r>
          </w:p>
        </w:tc>
        <w:tc>
          <w:tcPr>
            <w:tcW w:type="dxa" w:w="5112"/>
            <w:vAlign w:val="top"/>
          </w:tcPr>
          <w:p>
            <w:r>
              <w:t>EUSurvey</w:t>
            </w:r>
          </w:p>
        </w:tc>
      </w:tr>
      <w:tr>
        <w:tc>
          <w:tcPr>
            <w:tcW w:type="dxa" w:w="5112"/>
            <w:shd w:fill="D9EAF7"/>
            <w:vAlign w:val="top"/>
          </w:tcPr>
          <w:p>
            <w:r>
              <w:t>Audience</w:t>
            </w:r>
          </w:p>
        </w:tc>
        <w:tc>
          <w:tcPr>
            <w:tcW w:type="dxa" w:w="5112"/>
            <w:vAlign w:val="top"/>
          </w:tcPr>
          <w:p>
            <w:r>
              <w:t>Survey managers / form managers</w:t>
            </w:r>
          </w:p>
        </w:tc>
      </w:tr>
      <w:tr>
        <w:tc>
          <w:tcPr>
            <w:tcW w:type="dxa" w:w="5112"/>
            <w:shd w:fill="D9EAF7"/>
            <w:vAlign w:val="top"/>
          </w:tcPr>
          <w:p>
            <w:r>
              <w:t>Article type</w:t>
            </w:r>
          </w:p>
        </w:tc>
        <w:tc>
          <w:tcPr>
            <w:tcW w:type="dxa" w:w="5112"/>
            <w:vAlign w:val="top"/>
          </w:tcPr>
          <w:p>
            <w:r>
              <w:t>Reference</w:t>
            </w:r>
          </w:p>
        </w:tc>
      </w:tr>
      <w:tr>
        <w:tc>
          <w:tcPr>
            <w:tcW w:type="dxa" w:w="5112"/>
            <w:shd w:fill="D9EAF7"/>
            <w:vAlign w:val="top"/>
          </w:tcPr>
          <w:p>
            <w:r>
              <w:t>Feature</w:t>
            </w:r>
          </w:p>
        </w:tc>
        <w:tc>
          <w:tcPr>
            <w:tcW w:type="dxa" w:w="5112"/>
            <w:vAlign w:val="top"/>
          </w:tcPr>
          <w:p>
            <w:r>
              <w:t>Editor</w:t>
            </w:r>
          </w:p>
        </w:tc>
      </w:tr>
      <w:tr>
        <w:tc>
          <w:tcPr>
            <w:tcW w:type="dxa" w:w="5112"/>
            <w:shd w:fill="D9EAF7"/>
            <w:vAlign w:val="top"/>
          </w:tcPr>
          <w:p>
            <w:r>
              <w:t>Status</w:t>
            </w:r>
          </w:p>
        </w:tc>
        <w:tc>
          <w:tcPr>
            <w:tcW w:type="dxa" w:w="5112"/>
            <w:vAlign w:val="top"/>
          </w:tcPr>
          <w:p>
            <w:r>
              <w:t>Candidate normalized article</w:t>
            </w:r>
          </w:p>
        </w:tc>
      </w:tr>
      <w:tr>
        <w:tc>
          <w:tcPr>
            <w:tcW w:type="dxa" w:w="5112"/>
            <w:shd w:fill="D9EAF7"/>
            <w:vAlign w:val="top"/>
          </w:tcPr>
          <w:p>
            <w:r>
              <w:t>Source document</w:t>
            </w:r>
          </w:p>
        </w:tc>
        <w:tc>
          <w:tcPr>
            <w:tcW w:type="dxa" w:w="5112"/>
            <w:vAlign w:val="top"/>
          </w:tcPr>
          <w:p>
            <w:r>
              <w:t>Editor_Guide(0).pdf / EUSURVEY_QUICK_START_GUIDE.pdf</w:t>
            </w:r>
          </w:p>
        </w:tc>
      </w:tr>
      <w:tr>
        <w:tc>
          <w:tcPr>
            <w:tcW w:type="dxa" w:w="5112"/>
            <w:shd w:fill="D9EAF7"/>
            <w:vAlign w:val="top"/>
          </w:tcPr>
          <w:p>
            <w:r>
              <w:t>Duplicate handling</w:t>
            </w:r>
          </w:p>
        </w:tc>
        <w:tc>
          <w:tcPr>
            <w:tcW w:type="dxa" w:w="5112"/>
            <w:vAlign w:val="top"/>
          </w:tcPr>
          <w:p>
            <w:r>
              <w:t>Created only where the guide adds specific guidance or detail; broad FAQ-only duplicates were not repeated.</w:t>
            </w:r>
          </w:p>
        </w:tc>
      </w:tr>
      <w:tr>
        <w:tc>
          <w:tcPr>
            <w:tcW w:type="dxa" w:w="5112"/>
            <w:shd w:fill="D9EAF7"/>
            <w:vAlign w:val="top"/>
          </w:tcPr>
          <w:p>
            <w:r>
              <w:t>Keywords</w:t>
            </w:r>
          </w:p>
        </w:tc>
        <w:tc>
          <w:tcPr>
            <w:tcW w:type="dxa" w:w="5112"/>
            <w:vAlign w:val="top"/>
          </w:tcPr>
          <w:p>
            <w:r>
              <w:t>toolbar, undo, copy, delete, visualise visibility</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44E221B-E9F7-4468-BD68-87515A58F512}"/>
</file>

<file path=customXml/itemProps3.xml><?xml version="1.0" encoding="utf-8"?>
<ds:datastoreItem xmlns:ds="http://schemas.openxmlformats.org/officeDocument/2006/customXml" ds:itemID="{57001464-D0F7-4177-ADD4-9B501C896C24}"/>
</file>

<file path=customXml/itemProps4.xml><?xml version="1.0" encoding="utf-8"?>
<ds:datastoreItem xmlns:ds="http://schemas.openxmlformats.org/officeDocument/2006/customXml" ds:itemID="{5F419B97-9D4B-43E5-BFAE-4EC700462CBB}"/>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