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UG-049 — How to use the complexity indicator</w:t>
      </w:r>
    </w:p>
    <w:p>
      <w:r>
        <w:rPr>
          <w:b/>
        </w:rPr>
        <w:t>Normalized EUSurvey KB article</w:t>
      </w:r>
    </w:p>
    <w:p>
      <w:r>
        <w:t>Source guide: Editor_Guide(0).pdf / EUSURVEY_QUICK_START_GUIDE.pdf</w:t>
      </w:r>
    </w:p>
    <w:p>
      <w:pPr>
        <w:pStyle w:val="Heading2"/>
      </w:pPr>
      <w:r>
        <w:t>Purpose</w:t>
      </w:r>
    </w:p>
    <w:p>
      <w:r>
        <w:t>Explain what the complexity indicator shows and why it matters.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Editor</w:t>
      </w:r>
    </w:p>
    <w:p>
      <w:pPr>
        <w:pStyle w:val="ListBullet"/>
      </w:pPr>
      <w:r>
        <w:t>Topic: Complexity indicator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does the complexity indicator mean?</w:t>
      </w:r>
    </w:p>
    <w:p>
      <w:pPr>
        <w:pStyle w:val="ListBullet"/>
      </w:pPr>
      <w:r>
        <w:t>Why is my survey becoming slow?</w:t>
      </w:r>
    </w:p>
    <w:p>
      <w:pPr>
        <w:pStyle w:val="Heading2"/>
      </w:pPr>
      <w:r>
        <w:t>Direct answer</w:t>
      </w:r>
    </w:p>
    <w:p>
      <w:r>
        <w:t>The complexity indicator shows how complex the questionnaire is. Adding many elements or visibility settings increases complexity. If complexity is too high, the published questionnaire can become slow for participants.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Reduce complexity by simplifying the questionnaire, limiting dependencies, and avoiding unnecessarily complex structures.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UG-042 — Keep surveys short and simple</w:t>
      </w:r>
    </w:p>
    <w:p>
      <w:pPr>
        <w:pStyle w:val="ListBullet"/>
      </w:pPr>
      <w:r>
        <w:t>UG-051 — Limit open-ended questions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Editor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Editor_Guide(0).pdf / EUSURVEY_QUICK_START_GUIDE.pdf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complexity indicator, performance, slow survey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DF2D5D-5EF5-408A-81F5-7E14CED82909}"/>
</file>

<file path=customXml/itemProps3.xml><?xml version="1.0" encoding="utf-8"?>
<ds:datastoreItem xmlns:ds="http://schemas.openxmlformats.org/officeDocument/2006/customXml" ds:itemID="{3CC68EA7-CA26-4429-908C-C1D5B550635F}"/>
</file>

<file path=customXml/itemProps4.xml><?xml version="1.0" encoding="utf-8"?>
<ds:datastoreItem xmlns:ds="http://schemas.openxmlformats.org/officeDocument/2006/customXml" ds:itemID="{AD17311C-5C67-4494-B808-AD9DBA3C51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