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UG-054 — Quick start path to create and publish a first survey</w:t>
      </w:r>
    </w:p>
    <w:p>
      <w:r>
        <w:rPr>
          <w:b/>
        </w:rPr>
        <w:t>Normalized EUSurvey KB article</w:t>
      </w:r>
    </w:p>
    <w:p>
      <w:r>
        <w:t>Source guide: Editor_Guide(0).pdf / EUSURVEY_QUICK_START_GUIDE.pdf</w:t>
      </w:r>
    </w:p>
    <w:p>
      <w:pPr>
        <w:pStyle w:val="Heading2"/>
      </w:pPr>
      <w:r>
        <w:t>Purpose</w:t>
      </w:r>
    </w:p>
    <w:p>
      <w:r>
        <w:t>Provide a compact end-to-end orientation without duplicating detailed topic articles.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Quick start</w:t>
      </w:r>
    </w:p>
    <w:p>
      <w:pPr>
        <w:pStyle w:val="ListBullet"/>
      </w:pPr>
      <w:r>
        <w:t>Role: New survey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are the main steps to create my first survey?</w:t>
      </w:r>
    </w:p>
    <w:p>
      <w:pPr>
        <w:pStyle w:val="ListBullet"/>
      </w:pPr>
      <w:r>
        <w:t>How do I get a new survey online quickly?</w:t>
      </w:r>
    </w:p>
    <w:p>
      <w:pPr>
        <w:pStyle w:val="Heading2"/>
      </w:pPr>
      <w:r>
        <w:t>Direct answer</w:t>
      </w:r>
    </w:p>
    <w:p>
      <w:r>
        <w:t>The basic path is: connect to EUSurvey, create a new survey, add and edit form elements, test the questionnaire, and publish it from the Overview page. Use the detailed KB articles for each step.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Connect to EUSurvey using the correct login option.</w:t>
      </w:r>
    </w:p>
    <w:p>
      <w:pPr>
        <w:pStyle w:val="ListNumber"/>
      </w:pPr>
      <w:r>
        <w:t>Create a new survey and choose the survey type.</w:t>
      </w:r>
    </w:p>
    <w:p>
      <w:pPr>
        <w:pStyle w:val="ListNumber"/>
      </w:pPr>
      <w:r>
        <w:t>Add question elements in the editor.</w:t>
      </w:r>
    </w:p>
    <w:p>
      <w:pPr>
        <w:pStyle w:val="ListNumber"/>
      </w:pPr>
      <w:r>
        <w:t>Edit element text, answers and settings.</w:t>
      </w:r>
    </w:p>
    <w:p>
      <w:pPr>
        <w:pStyle w:val="ListNumber"/>
      </w:pPr>
      <w:r>
        <w:t>Test the survey.</w:t>
      </w:r>
    </w:p>
    <w:p>
      <w:pPr>
        <w:pStyle w:val="ListNumber"/>
      </w:pPr>
      <w:r>
        <w:t>Publish the survey from the Overview page.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article is intentionally high-level to avoid duplicating detailed login, creation, editor and publishing articles.</w:t>
      </w:r>
    </w:p>
    <w:p>
      <w:pPr>
        <w:pStyle w:val="ListBullet"/>
      </w:pPr>
      <w:r>
        <w:t>For external users, two-factor authentication may apply depending on the login route.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UG-043 — Editor workspace overview</w:t>
      </w:r>
    </w:p>
    <w:p>
      <w:pPr>
        <w:pStyle w:val="ListBullet"/>
      </w:pPr>
      <w:r>
        <w:t>UG-053 — Use visibility settings</w:t>
      </w:r>
    </w:p>
    <w:p>
      <w:pPr>
        <w:pStyle w:val="ListBullet"/>
      </w:pPr>
      <w:r>
        <w:t>UG-010 — Publish a quiz survey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Overview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Quick start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Editor_Guide(0).pdf / EUSURVEY_QUICK_START_GUIDE.pdf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quick start, first survey, publish survey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185F90-0AB9-4FF5-B7A6-469BBB38103E}"/>
</file>

<file path=customXml/itemProps3.xml><?xml version="1.0" encoding="utf-8"?>
<ds:datastoreItem xmlns:ds="http://schemas.openxmlformats.org/officeDocument/2006/customXml" ds:itemID="{19C3F01D-63C2-43C6-9988-81E715E03956}"/>
</file>

<file path=customXml/itemProps4.xml><?xml version="1.0" encoding="utf-8"?>
<ds:datastoreItem xmlns:ds="http://schemas.openxmlformats.org/officeDocument/2006/customXml" ds:itemID="{F6A5BB97-E39C-41F7-8AEE-F5A289903D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