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WS-014 - Prefilling API overview</w:t>
      </w:r>
    </w:p>
    <w:p>
      <w:r>
        <w:rPr>
          <w:i/>
        </w:rPr>
        <w:t>Normalized KB article for technical integration with EUSurvey.</w:t>
      </w:r>
    </w:p>
    <w:p>
      <w:pPr>
        <w:pStyle w:val="Heading2"/>
      </w:pPr>
      <w:r>
        <w:t>Purpose</w:t>
      </w:r>
    </w:p>
    <w:p>
      <w:r>
        <w:t>Explain the Prefilling API, its prerequisites, and when to use it.</w:t>
      </w:r>
    </w:p>
    <w:p>
      <w:pPr>
        <w:pStyle w:val="Heading2"/>
      </w:pPr>
      <w:r>
        <w:t>Applies to</w:t>
      </w:r>
    </w:p>
    <w:p>
      <w:pPr>
        <w:pStyle w:val="ListBullet"/>
      </w:pPr>
      <w:r>
        <w:t>EUSurvey Web-services API</w:t>
      </w:r>
    </w:p>
    <w:p>
      <w:pPr>
        <w:pStyle w:val="ListBullet"/>
      </w:pPr>
      <w:r>
        <w:t>System users authenticated with Basic Authentication</w:t>
      </w:r>
    </w:p>
    <w:p>
      <w:pPr>
        <w:pStyle w:val="Heading2"/>
      </w:pPr>
      <w:r>
        <w:t>User question examples</w:t>
      </w:r>
    </w:p>
    <w:p>
      <w:pPr>
        <w:pStyle w:val="ListBullet"/>
      </w:pPr>
      <w:r>
        <w:t>How can I generate prefilled EUSurvey questionnaires?</w:t>
      </w:r>
    </w:p>
    <w:p>
      <w:pPr>
        <w:pStyle w:val="ListBullet"/>
      </w:pPr>
      <w:r>
        <w:t>What are the prerequisites for the Prefilling API?</w:t>
      </w:r>
    </w:p>
    <w:p>
      <w:pPr>
        <w:pStyle w:val="ListBullet"/>
      </w:pPr>
      <w:r>
        <w:t>Can I prefill dependent questions?</w:t>
      </w:r>
    </w:p>
    <w:p>
      <w:pPr>
        <w:pStyle w:val="Heading2"/>
      </w:pPr>
      <w:r>
        <w:t>Direct answer</w:t>
      </w:r>
    </w:p>
    <w:p>
      <w:r>
        <w:t>The Prefilling API creates draft contributions containing predefined answers so that individual participants can receive personalized questionnaires. The survey must be secured, the elements to prefill must have identifiers, and the survey must have been published at least once. The API cannot prefill questions that are dependent on a selection of another question.</w:t>
      </w:r>
    </w:p>
    <w:p>
      <w:pPr>
        <w:pStyle w:val="Heading2"/>
      </w:pPr>
      <w:r>
        <w:t>Guidance / procedure</w:t>
      </w:r>
    </w:p>
    <w:p>
      <w:pPr>
        <w:pStyle w:val="ListNumber"/>
      </w:pPr>
      <w:r>
        <w:t>Secure the survey.</w:t>
      </w:r>
    </w:p>
    <w:p>
      <w:pPr>
        <w:pStyle w:val="ListNumber"/>
      </w:pPr>
      <w:r>
        <w:t>Set identifiers for the elements that must be prefilled.</w:t>
      </w:r>
    </w:p>
    <w:p>
      <w:pPr>
        <w:pStyle w:val="ListNumber"/>
      </w:pPr>
      <w:r>
        <w:t>Publish the survey at least once before calling the Prefilling API.</w:t>
      </w:r>
    </w:p>
    <w:p>
      <w:pPr>
        <w:pStyle w:val="ListNumber"/>
      </w:pPr>
      <w:r>
        <w:t>Call the prefill endpoint once per guest-list entry or token.</w:t>
      </w:r>
    </w:p>
    <w:p>
      <w:pPr>
        <w:pStyle w:val="ListNumber"/>
      </w:pPr>
      <w:r>
        <w:t>Send the generated prefilled draft link to the participant.</w:t>
      </w:r>
    </w:p>
    <w:p>
      <w:pPr>
        <w:pStyle w:val="Heading2"/>
      </w:pPr>
      <w:r>
        <w:t>Important notes</w:t>
      </w:r>
    </w:p>
    <w:p>
      <w:pPr>
        <w:pStyle w:val="ListBullet"/>
      </w:pPr>
      <w:r>
        <w:t>Date answers must use DD/MM/YYYY format.</w:t>
      </w:r>
    </w:p>
    <w:p>
      <w:pPr>
        <w:pStyle w:val="ListBullet"/>
      </w:pPr>
      <w:r>
        <w:t>A successful call returns HTTP 204 and creates a draft; it does not return the full draft content.</w:t>
      </w:r>
    </w:p>
    <w:p>
      <w:pPr>
        <w:pStyle w:val="ListBullet"/>
      </w:pPr>
      <w:r>
        <w:t>Dependent questions cannot be prefilled through this API.</w:t>
      </w:r>
    </w:p>
    <w:p>
      <w:pPr>
        <w:pStyle w:val="Heading2"/>
      </w:pPr>
      <w:r>
        <w:t>Related articles</w:t>
      </w:r>
    </w:p>
    <w:p>
      <w:pPr>
        <w:pStyle w:val="ListBullet"/>
      </w:pPr>
      <w:r>
        <w:t>WS-015 - Create a prefilled draft contribution</w:t>
      </w:r>
    </w:p>
    <w:p>
      <w:pPr>
        <w:pStyle w:val="ListBullet"/>
      </w:pPr>
      <w:r>
        <w:t>WS-016 - Handle Prefilling API special cases</w:t>
      </w:r>
    </w:p>
    <w:p>
      <w:pPr>
        <w:pStyle w:val="ListBullet"/>
      </w:pPr>
      <w:r>
        <w:t>WS-017 - Troubleshoot Prefill API HTTP 412 errors</w:t>
      </w:r>
    </w:p>
    <w:p>
      <w:pPr>
        <w:pStyle w:val="Heading2"/>
      </w:pPr>
      <w:r>
        <w:t>RAG metadata</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Product</w:t>
            </w:r>
          </w:p>
        </w:tc>
        <w:tc>
          <w:tcPr>
            <w:tcW w:type="dxa" w:w="5112"/>
            <w:vAlign w:val="top"/>
          </w:tcPr>
          <w:p>
            <w:r/>
            <w:r>
              <w:rPr>
                <w:b w:val="0"/>
                <w:sz w:val="18"/>
              </w:rPr>
              <w:t>EUSurvey</w:t>
            </w:r>
          </w:p>
        </w:tc>
      </w:tr>
      <w:tr>
        <w:tc>
          <w:tcPr>
            <w:tcW w:type="dxa" w:w="5112"/>
            <w:vAlign w:val="top"/>
          </w:tcPr>
          <w:p>
            <w:r/>
            <w:r>
              <w:rPr>
                <w:b/>
                <w:sz w:val="18"/>
              </w:rPr>
              <w:t>Audience</w:t>
            </w:r>
          </w:p>
        </w:tc>
        <w:tc>
          <w:tcPr>
            <w:tcW w:type="dxa" w:w="5112"/>
            <w:vAlign w:val="top"/>
          </w:tcPr>
          <w:p>
            <w:r/>
            <w:r>
              <w:rPr>
                <w:b w:val="0"/>
                <w:sz w:val="18"/>
              </w:rPr>
              <w:t>Technical integrators, developers, system users, survey managers using automation</w:t>
            </w:r>
          </w:p>
        </w:tc>
      </w:tr>
      <w:tr>
        <w:tc>
          <w:tcPr>
            <w:tcW w:type="dxa" w:w="5112"/>
            <w:vAlign w:val="top"/>
          </w:tcPr>
          <w:p>
            <w:r/>
            <w:r>
              <w:rPr>
                <w:b/>
                <w:sz w:val="18"/>
              </w:rPr>
              <w:t>Article type</w:t>
            </w:r>
          </w:p>
        </w:tc>
        <w:tc>
          <w:tcPr>
            <w:tcW w:type="dxa" w:w="5112"/>
            <w:vAlign w:val="top"/>
          </w:tcPr>
          <w:p>
            <w:r/>
            <w:r>
              <w:rPr>
                <w:b w:val="0"/>
                <w:sz w:val="18"/>
              </w:rPr>
              <w:t>Technical overview</w:t>
            </w:r>
          </w:p>
        </w:tc>
      </w:tr>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Source</w:t>
            </w:r>
          </w:p>
        </w:tc>
        <w:tc>
          <w:tcPr>
            <w:tcW w:type="dxa" w:w="5112"/>
            <w:vAlign w:val="top"/>
          </w:tcPr>
          <w:p>
            <w:r/>
            <w:r>
              <w:rPr>
                <w:b w:val="0"/>
                <w:sz w:val="18"/>
              </w:rPr>
              <w:t>EUSurvey Web-services API Specification, version 1.5.3.6, dated 16.07.2025</w:t>
            </w:r>
          </w:p>
        </w:tc>
      </w:tr>
      <w:tr>
        <w:tc>
          <w:tcPr>
            <w:tcW w:type="dxa" w:w="5112"/>
            <w:vAlign w:val="top"/>
          </w:tcPr>
          <w:p>
            <w:r/>
            <w:r>
              <w:rPr>
                <w:b/>
                <w:sz w:val="18"/>
              </w:rPr>
              <w:t>Content owner</w:t>
            </w:r>
          </w:p>
        </w:tc>
        <w:tc>
          <w:tcPr>
            <w:tcW w:type="dxa" w:w="5112"/>
            <w:vAlign w:val="top"/>
          </w:tcPr>
          <w:p>
            <w:r/>
            <w:r>
              <w:rPr>
                <w:b w:val="0"/>
                <w:sz w:val="18"/>
              </w:rPr>
              <w:t>EUSurvey team</w:t>
            </w:r>
          </w:p>
        </w:tc>
      </w:tr>
      <w:tr>
        <w:tc>
          <w:tcPr>
            <w:tcW w:type="dxa" w:w="5112"/>
            <w:vAlign w:val="top"/>
          </w:tcPr>
          <w:p>
            <w:r/>
            <w:r>
              <w:rPr>
                <w:b/>
                <w:sz w:val="18"/>
              </w:rPr>
              <w:t>Language</w:t>
            </w:r>
          </w:p>
        </w:tc>
        <w:tc>
          <w:tcPr>
            <w:tcW w:type="dxa" w:w="5112"/>
            <w:vAlign w:val="top"/>
          </w:tcPr>
          <w:p>
            <w:r/>
            <w:r>
              <w:rPr>
                <w:b w:val="0"/>
                <w:sz w:val="18"/>
              </w:rPr>
              <w:t>EN</w:t>
            </w:r>
          </w:p>
        </w:tc>
      </w:tr>
      <w:tr>
        <w:tc>
          <w:tcPr>
            <w:tcW w:type="dxa" w:w="5112"/>
            <w:vAlign w:val="top"/>
          </w:tcPr>
          <w:p>
            <w:r/>
            <w:r>
              <w:rPr>
                <w:b/>
                <w:sz w:val="18"/>
              </w:rPr>
              <w:t>Feature</w:t>
            </w:r>
          </w:p>
        </w:tc>
        <w:tc>
          <w:tcPr>
            <w:tcW w:type="dxa" w:w="5112"/>
            <w:vAlign w:val="top"/>
          </w:tcPr>
          <w:p>
            <w:r/>
            <w:r>
              <w:rPr>
                <w:b w:val="0"/>
                <w:sz w:val="18"/>
              </w:rPr>
              <w:t>Prefilling API</w:t>
            </w:r>
          </w:p>
        </w:tc>
      </w:tr>
      <w:tr>
        <w:tc>
          <w:tcPr>
            <w:tcW w:type="dxa" w:w="5112"/>
            <w:vAlign w:val="top"/>
          </w:tcPr>
          <w:p>
            <w:r/>
            <w:r>
              <w:rPr>
                <w:b/>
                <w:sz w:val="18"/>
              </w:rPr>
              <w:t>Keywords</w:t>
            </w:r>
          </w:p>
        </w:tc>
        <w:tc>
          <w:tcPr>
            <w:tcW w:type="dxa" w:w="5112"/>
            <w:vAlign w:val="top"/>
          </w:tcPr>
          <w:p>
            <w:r/>
            <w:r>
              <w:rPr>
                <w:b w:val="0"/>
                <w:sz w:val="18"/>
              </w:rPr>
              <w:t>prefill, draft, personalized link, token, identifier</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AF0E6D9-395D-419F-9D93-0F5ABDD85962}"/>
</file>

<file path=customXml/itemProps3.xml><?xml version="1.0" encoding="utf-8"?>
<ds:datastoreItem xmlns:ds="http://schemas.openxmlformats.org/officeDocument/2006/customXml" ds:itemID="{250358FC-993A-4840-BC8F-9F339B2A4B89}"/>
</file>

<file path=customXml/itemProps4.xml><?xml version="1.0" encoding="utf-8"?>
<ds:datastoreItem xmlns:ds="http://schemas.openxmlformats.org/officeDocument/2006/customXml" ds:itemID="{07717537-CC20-492A-8855-2AD91452A76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WS-014 - Prefilling API overview</dc:title>
  <dc:subject>Normalized RAG-optimized EUSurvey web services KB article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