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WS-016 - Handle Prefilling API special cases</w:t>
      </w:r>
    </w:p>
    <w:p>
      <w:r>
        <w:rPr>
          <w:i/>
        </w:rPr>
        <w:t>Normalized KB article for technical integration with EUSurvey.</w:t>
      </w:r>
    </w:p>
    <w:p>
      <w:pPr>
        <w:pStyle w:val="Heading2"/>
      </w:pPr>
      <w:r>
        <w:t>Purpose</w:t>
      </w:r>
    </w:p>
    <w:p>
      <w:r>
        <w:t>Explain special URL encoding and value formats for choice questions, table questions and special characters in prefill calls.</w:t>
      </w:r>
    </w:p>
    <w:p>
      <w:pPr>
        <w:pStyle w:val="Heading2"/>
      </w:pPr>
      <w:r>
        <w:t>Applies to</w:t>
      </w:r>
    </w:p>
    <w:p>
      <w:pPr>
        <w:pStyle w:val="ListBullet"/>
      </w:pPr>
      <w:r>
        <w:t>EUSurvey Web-services API</w:t>
      </w:r>
    </w:p>
    <w:p>
      <w:pPr>
        <w:pStyle w:val="ListBullet"/>
      </w:pPr>
      <w:r>
        <w:t>System users authenticated with Basic Authentication</w:t>
      </w:r>
    </w:p>
    <w:p>
      <w:pPr>
        <w:pStyle w:val="Heading2"/>
      </w:pPr>
      <w:r>
        <w:t>User question examples</w:t>
      </w:r>
    </w:p>
    <w:p>
      <w:pPr>
        <w:pStyle w:val="ListBullet"/>
      </w:pPr>
      <w:r>
        <w:t>How do I prefill multiple-choice questions?</w:t>
      </w:r>
    </w:p>
    <w:p>
      <w:pPr>
        <w:pStyle w:val="ListBullet"/>
      </w:pPr>
      <w:r>
        <w:t>How do I prefill table cells?</w:t>
      </w:r>
    </w:p>
    <w:p>
      <w:pPr>
        <w:pStyle w:val="ListBullet"/>
      </w:pPr>
      <w:r>
        <w:t>How do I send special characters in prefill values?</w:t>
      </w:r>
    </w:p>
    <w:p>
      <w:pPr>
        <w:pStyle w:val="Heading2"/>
      </w:pPr>
      <w:r>
        <w:t>Direct answer</w:t>
      </w:r>
    </w:p>
    <w:p>
      <w:r>
        <w:t>Some prefilling cases require special syntax. For single or multiple choice questions, multiple answers are separated with commas. For table questions, the identifier must include the question identifier and row and column indices separated by plus signs. Special characters must be UTF-8 URL encoded.</w:t>
      </w:r>
    </w:p>
    <w:p>
      <w:pPr>
        <w:pStyle w:val="Heading2"/>
      </w:pPr>
      <w:r>
        <w:t>Guidance / procedure</w:t>
      </w:r>
    </w:p>
    <w:p>
      <w:pPr>
        <w:pStyle w:val="CodeBlock"/>
      </w:pPr>
      <w:r>
        <w:t>Choice example: &lt;base_url&gt;/webservice/prefill/ALIAS?token=CODE&amp;CHOICE1=answer1,answer2,answer3</w:t>
      </w:r>
    </w:p>
    <w:p>
      <w:pPr>
        <w:pStyle w:val="CodeBlock"/>
      </w:pPr>
      <w:r>
        <w:t>Table example: &lt;base_url&gt;/webservice/prefill/ALIAS?token=CODE&amp;MYTABLE+1+2=value</w:t>
      </w:r>
    </w:p>
    <w:p>
      <w:pPr>
        <w:pStyle w:val="CodeBlock"/>
      </w:pPr>
      <w:r>
        <w:t>Special-character example: use %20 for an empty space in a value.</w:t>
      </w:r>
    </w:p>
    <w:p>
      <w:pPr>
        <w:pStyle w:val="Heading2"/>
      </w:pPr>
      <w:r>
        <w:t>Important notes</w:t>
      </w:r>
    </w:p>
    <w:p>
      <w:pPr>
        <w:pStyle w:val="ListBullet"/>
      </w:pPr>
      <w:r>
        <w:t>The table syntax MYTABLE+1+2 refers to the second column of the first row of the table with identifier MYTABLE.</w:t>
      </w:r>
    </w:p>
    <w:p>
      <w:pPr>
        <w:pStyle w:val="ListBullet"/>
      </w:pPr>
      <w:r>
        <w:t>Values containing spaces, #, +, &amp;, or similar characters must be URL encoded.</w:t>
      </w:r>
    </w:p>
    <w:p>
      <w:pPr>
        <w:pStyle w:val="ListBullet"/>
      </w:pPr>
      <w:r>
        <w:t>The Prefilling API cannot prefill dependent questions.</w:t>
      </w:r>
    </w:p>
    <w:p>
      <w:pPr>
        <w:pStyle w:val="Heading2"/>
      </w:pPr>
      <w:r>
        <w:t>Related articles</w:t>
      </w:r>
    </w:p>
    <w:p>
      <w:pPr>
        <w:pStyle w:val="ListBullet"/>
      </w:pPr>
      <w:r>
        <w:t>WS-015 - Create a prefilled draft contribution</w:t>
      </w:r>
    </w:p>
    <w:p>
      <w:pPr>
        <w:pStyle w:val="ListBullet"/>
      </w:pPr>
      <w:r>
        <w:t>WS-017 - Troubleshoot Prefill API HTTP 412 errors</w:t>
      </w:r>
    </w:p>
    <w:p>
      <w:pPr>
        <w:pStyle w:val="Heading2"/>
      </w:pPr>
      <w:r>
        <w:t>RAG metadata</w:t>
      </w:r>
    </w:p>
    <w:tbl>
      <w:tblPr>
        <w:tblStyle w:val="TableGrid"/>
        <w:tblW w:type="auto" w:w="0"/>
        <w:jc w:val="left"/>
        <w:tblLook w:firstColumn="1" w:firstRow="1" w:lastColumn="0" w:lastRow="0" w:noHBand="0" w:noVBand="1" w:val="04A0"/>
      </w:tblPr>
      <w:tblGrid>
        <w:gridCol w:w="5112"/>
        <w:gridCol w:w="5112"/>
      </w:tblGrid>
      <w:tr>
        <w:tc>
          <w:tcPr>
            <w:tcW w:type="dxa" w:w="5112"/>
            <w:vAlign w:val="top"/>
          </w:tcPr>
          <w:p>
            <w:r/>
            <w:r>
              <w:rPr>
                <w:b/>
                <w:sz w:val="18"/>
              </w:rPr>
              <w:t>Product</w:t>
            </w:r>
          </w:p>
        </w:tc>
        <w:tc>
          <w:tcPr>
            <w:tcW w:type="dxa" w:w="5112"/>
            <w:vAlign w:val="top"/>
          </w:tcPr>
          <w:p>
            <w:r/>
            <w:r>
              <w:rPr>
                <w:b w:val="0"/>
                <w:sz w:val="18"/>
              </w:rPr>
              <w:t>EUSurvey</w:t>
            </w:r>
          </w:p>
        </w:tc>
      </w:tr>
      <w:tr>
        <w:tc>
          <w:tcPr>
            <w:tcW w:type="dxa" w:w="5112"/>
            <w:vAlign w:val="top"/>
          </w:tcPr>
          <w:p>
            <w:r/>
            <w:r>
              <w:rPr>
                <w:b/>
                <w:sz w:val="18"/>
              </w:rPr>
              <w:t>Audience</w:t>
            </w:r>
          </w:p>
        </w:tc>
        <w:tc>
          <w:tcPr>
            <w:tcW w:type="dxa" w:w="5112"/>
            <w:vAlign w:val="top"/>
          </w:tcPr>
          <w:p>
            <w:r/>
            <w:r>
              <w:rPr>
                <w:b w:val="0"/>
                <w:sz w:val="18"/>
              </w:rPr>
              <w:t>Technical integrators, developers, system users, survey managers using automation</w:t>
            </w:r>
          </w:p>
        </w:tc>
      </w:tr>
      <w:tr>
        <w:tc>
          <w:tcPr>
            <w:tcW w:type="dxa" w:w="5112"/>
            <w:vAlign w:val="top"/>
          </w:tcPr>
          <w:p>
            <w:r/>
            <w:r>
              <w:rPr>
                <w:b/>
                <w:sz w:val="18"/>
              </w:rPr>
              <w:t>Article type</w:t>
            </w:r>
          </w:p>
        </w:tc>
        <w:tc>
          <w:tcPr>
            <w:tcW w:type="dxa" w:w="5112"/>
            <w:vAlign w:val="top"/>
          </w:tcPr>
          <w:p>
            <w:r/>
            <w:r>
              <w:rPr>
                <w:b w:val="0"/>
                <w:sz w:val="18"/>
              </w:rPr>
              <w:t>Technical how-to</w:t>
            </w:r>
          </w:p>
        </w:tc>
      </w:tr>
      <w:tr>
        <w:tc>
          <w:tcPr>
            <w:tcW w:type="dxa" w:w="5112"/>
            <w:vAlign w:val="top"/>
          </w:tcPr>
          <w:p>
            <w:r/>
            <w:r>
              <w:rPr>
                <w:b/>
                <w:sz w:val="18"/>
              </w:rPr>
              <w:t>Status</w:t>
            </w:r>
          </w:p>
        </w:tc>
        <w:tc>
          <w:tcPr>
            <w:tcW w:type="dxa" w:w="5112"/>
            <w:vAlign w:val="top"/>
          </w:tcPr>
          <w:p>
            <w:r/>
            <w:r>
              <w:rPr>
                <w:b w:val="0"/>
                <w:sz w:val="18"/>
              </w:rPr>
              <w:t>Active</w:t>
            </w:r>
          </w:p>
        </w:tc>
      </w:tr>
      <w:tr>
        <w:tc>
          <w:tcPr>
            <w:tcW w:type="dxa" w:w="5112"/>
            <w:vAlign w:val="top"/>
          </w:tcPr>
          <w:p>
            <w:r/>
            <w:r>
              <w:rPr>
                <w:b/>
                <w:sz w:val="18"/>
              </w:rPr>
              <w:t>Source</w:t>
            </w:r>
          </w:p>
        </w:tc>
        <w:tc>
          <w:tcPr>
            <w:tcW w:type="dxa" w:w="5112"/>
            <w:vAlign w:val="top"/>
          </w:tcPr>
          <w:p>
            <w:r/>
            <w:r>
              <w:rPr>
                <w:b w:val="0"/>
                <w:sz w:val="18"/>
              </w:rPr>
              <w:t>EUSurvey Web-services API Specification, version 1.5.3.6, dated 16.07.2025</w:t>
            </w:r>
          </w:p>
        </w:tc>
      </w:tr>
      <w:tr>
        <w:tc>
          <w:tcPr>
            <w:tcW w:type="dxa" w:w="5112"/>
            <w:vAlign w:val="top"/>
          </w:tcPr>
          <w:p>
            <w:r/>
            <w:r>
              <w:rPr>
                <w:b/>
                <w:sz w:val="18"/>
              </w:rPr>
              <w:t>Content owner</w:t>
            </w:r>
          </w:p>
        </w:tc>
        <w:tc>
          <w:tcPr>
            <w:tcW w:type="dxa" w:w="5112"/>
            <w:vAlign w:val="top"/>
          </w:tcPr>
          <w:p>
            <w:r/>
            <w:r>
              <w:rPr>
                <w:b w:val="0"/>
                <w:sz w:val="18"/>
              </w:rPr>
              <w:t>EUSurvey team</w:t>
            </w:r>
          </w:p>
        </w:tc>
      </w:tr>
      <w:tr>
        <w:tc>
          <w:tcPr>
            <w:tcW w:type="dxa" w:w="5112"/>
            <w:vAlign w:val="top"/>
          </w:tcPr>
          <w:p>
            <w:r/>
            <w:r>
              <w:rPr>
                <w:b/>
                <w:sz w:val="18"/>
              </w:rPr>
              <w:t>Language</w:t>
            </w:r>
          </w:p>
        </w:tc>
        <w:tc>
          <w:tcPr>
            <w:tcW w:type="dxa" w:w="5112"/>
            <w:vAlign w:val="top"/>
          </w:tcPr>
          <w:p>
            <w:r/>
            <w:r>
              <w:rPr>
                <w:b w:val="0"/>
                <w:sz w:val="18"/>
              </w:rPr>
              <w:t>EN</w:t>
            </w:r>
          </w:p>
        </w:tc>
      </w:tr>
      <w:tr>
        <w:tc>
          <w:tcPr>
            <w:tcW w:type="dxa" w:w="5112"/>
            <w:vAlign w:val="top"/>
          </w:tcPr>
          <w:p>
            <w:r/>
            <w:r>
              <w:rPr>
                <w:b/>
                <w:sz w:val="18"/>
              </w:rPr>
              <w:t>Feature</w:t>
            </w:r>
          </w:p>
        </w:tc>
        <w:tc>
          <w:tcPr>
            <w:tcW w:type="dxa" w:w="5112"/>
            <w:vAlign w:val="top"/>
          </w:tcPr>
          <w:p>
            <w:r/>
            <w:r>
              <w:rPr>
                <w:b w:val="0"/>
                <w:sz w:val="18"/>
              </w:rPr>
              <w:t>Prefilling API</w:t>
            </w:r>
          </w:p>
        </w:tc>
      </w:tr>
      <w:tr>
        <w:tc>
          <w:tcPr>
            <w:tcW w:type="dxa" w:w="5112"/>
            <w:vAlign w:val="top"/>
          </w:tcPr>
          <w:p>
            <w:r/>
            <w:r>
              <w:rPr>
                <w:b/>
                <w:sz w:val="18"/>
              </w:rPr>
              <w:t>Keywords</w:t>
            </w:r>
          </w:p>
        </w:tc>
        <w:tc>
          <w:tcPr>
            <w:tcW w:type="dxa" w:w="5112"/>
            <w:vAlign w:val="top"/>
          </w:tcPr>
          <w:p>
            <w:r/>
            <w:r>
              <w:rPr>
                <w:b w:val="0"/>
                <w:sz w:val="18"/>
              </w:rPr>
              <w:t>choice prefill, table prefill, URL encode, special characters</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68DC74-1662-480C-B820-BF1F9C62BDD6}"/>
</file>

<file path=customXml/itemProps3.xml><?xml version="1.0" encoding="utf-8"?>
<ds:datastoreItem xmlns:ds="http://schemas.openxmlformats.org/officeDocument/2006/customXml" ds:itemID="{F49A3DCC-E88A-45DD-81BD-A0CC4517DEAF}"/>
</file>

<file path=customXml/itemProps4.xml><?xml version="1.0" encoding="utf-8"?>
<ds:datastoreItem xmlns:ds="http://schemas.openxmlformats.org/officeDocument/2006/customXml" ds:itemID="{4A20AFD9-01A3-4B4A-82A2-D7917DA42B7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WS-016 - Handle Prefilling API special cases</dc:title>
  <dc:subject>Normalized RAG-optimized EUSurvey web services KB article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