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WS-019 - Use webhooks for result export completion</w:t>
      </w:r>
    </w:p>
    <w:p>
      <w:r>
        <w:rPr>
          <w:i/>
        </w:rPr>
        <w:t>Normalized KB article for technical integration with EUSurvey.</w:t>
      </w:r>
    </w:p>
    <w:p>
      <w:pPr>
        <w:pStyle w:val="Heading2"/>
      </w:pPr>
      <w:r>
        <w:t>Purpose</w:t>
      </w:r>
    </w:p>
    <w:p>
      <w:r>
        <w:t>Explain the optional hook parameter available on results preparation endpoints.</w:t>
      </w:r>
    </w:p>
    <w:p>
      <w:pPr>
        <w:pStyle w:val="Heading2"/>
      </w:pPr>
      <w:r>
        <w:t>Applies to</w:t>
      </w:r>
    </w:p>
    <w:p>
      <w:pPr>
        <w:pStyle w:val="ListBullet"/>
      </w:pPr>
      <w:r>
        <w:t>EUSurvey Web-services API</w:t>
      </w:r>
    </w:p>
    <w:p>
      <w:pPr>
        <w:pStyle w:val="ListBullet"/>
      </w:pPr>
      <w:r>
        <w:t>System users authenticated with Basic Authentication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Can EUSurvey notify my system when a result export is ready?</w:t>
      </w:r>
    </w:p>
    <w:p>
      <w:pPr>
        <w:pStyle w:val="ListBullet"/>
      </w:pPr>
      <w:r>
        <w:t>How does the hook parameter work?</w:t>
      </w:r>
    </w:p>
    <w:p>
      <w:pPr>
        <w:pStyle w:val="Heading2"/>
      </w:pPr>
      <w:r>
        <w:t>Direct answer</w:t>
      </w:r>
    </w:p>
    <w:p>
      <w:r>
        <w:t>All prepareResultsXXX actions can include an optional hook URL. When the asynchronous export finishes, EUSurvey calls the hook URL using a GET request. The placeholder TASKID in the hook URL is automatically replaced by the ticket ID, which can then be used to call getResults.</w:t>
      </w:r>
    </w:p>
    <w:p>
      <w:pPr>
        <w:pStyle w:val="Heading2"/>
      </w:pPr>
      <w:r>
        <w:t>Guidance / procedure</w:t>
      </w:r>
    </w:p>
    <w:p>
      <w:pPr>
        <w:pStyle w:val="CodeBlock"/>
      </w:pPr>
      <w:r>
        <w:t>&lt;base_url&gt;/webservice/prepareResultsXML/[Alias]/[IDs]?hook=https://myserver.example/myApp?task=TASKID</w:t>
      </w:r>
    </w:p>
    <w:p>
      <w:pPr>
        <w:pStyle w:val="CodeBlock"/>
      </w:pPr>
      <w:r>
        <w:t>When finished, EUSurvey calls: https://myserver.example/myApp?task=&lt;ticket&gt;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The hook is optional; polling getResults remains supported.</w:t>
      </w:r>
    </w:p>
    <w:p>
      <w:pPr>
        <w:pStyle w:val="ListBullet"/>
      </w:pPr>
      <w:r>
        <w:t>The receiving system should validate and handle the ticket securely.</w:t>
      </w:r>
    </w:p>
    <w:p>
      <w:pPr>
        <w:pStyle w:val="ListBullet"/>
      </w:pPr>
      <w:r>
        <w:t>The hook URL should be reachable by EUSurvey.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WS-018 - Results API overview</w:t>
      </w:r>
    </w:p>
    <w:p>
      <w:pPr>
        <w:pStyle w:val="ListBullet"/>
      </w:pPr>
      <w:r>
        <w:t>WS-006 - Use asynchronous tickets and getResults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integrators, developers, system users, survey managers using automation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Web-services API Specification, version 1.5.3.6, dated 16.07.2025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Content owner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team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Results API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Keywords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webhook, hook, TASKID, asynchronous export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517783-7116-45AB-8FF1-006F75FB3F8A}"/>
</file>

<file path=customXml/itemProps3.xml><?xml version="1.0" encoding="utf-8"?>
<ds:datastoreItem xmlns:ds="http://schemas.openxmlformats.org/officeDocument/2006/customXml" ds:itemID="{4240016E-AF94-4F42-981F-57693AED68DB}"/>
</file>

<file path=customXml/itemProps4.xml><?xml version="1.0" encoding="utf-8"?>
<ds:datastoreItem xmlns:ds="http://schemas.openxmlformats.org/officeDocument/2006/customXml" ds:itemID="{B540DEBE-FF46-441A-9827-6B6B5A04627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WS-019 - Use webhooks for result export completion</dc:title>
  <dc:subject>Normalized RAG-optimized EUSurvey web services KB article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