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WS-022 - Prepare PDF result exports</w:t>
      </w:r>
    </w:p>
    <w:p>
      <w:r>
        <w:rPr>
          <w:i/>
        </w:rPr>
        <w:t>Normalized KB article for technical integration with EUSurvey.</w:t>
      </w:r>
    </w:p>
    <w:p>
      <w:pPr>
        <w:pStyle w:val="Heading2"/>
      </w:pPr>
      <w:r>
        <w:t>Purpose</w:t>
      </w:r>
    </w:p>
    <w:p>
      <w:r>
        <w:t>Explain how to request PDF files for survey contributions through the Results API.</w:t>
      </w:r>
    </w:p>
    <w:p>
      <w:pPr>
        <w:pStyle w:val="Heading2"/>
      </w:pPr>
      <w:r>
        <w:t>Applies to</w:t>
      </w:r>
    </w:p>
    <w:p>
      <w:pPr>
        <w:pStyle w:val="ListBullet"/>
      </w:pPr>
      <w:r>
        <w:t>EUSurvey Web-services API</w:t>
      </w:r>
    </w:p>
    <w:p>
      <w:pPr>
        <w:pStyle w:val="ListBullet"/>
      </w:pPr>
      <w:r>
        <w:t>System users authenticated with Basic Authentication</w:t>
      </w:r>
    </w:p>
    <w:p>
      <w:pPr>
        <w:pStyle w:val="Heading2"/>
      </w:pPr>
      <w:r>
        <w:t>User question examples</w:t>
      </w:r>
    </w:p>
    <w:p>
      <w:pPr>
        <w:pStyle w:val="ListBullet"/>
      </w:pPr>
      <w:r>
        <w:t>How do I export contributions as PDF through the API?</w:t>
      </w:r>
    </w:p>
    <w:p>
      <w:pPr>
        <w:pStyle w:val="ListBullet"/>
      </w:pPr>
      <w:r>
        <w:t>What happens if a PDF cannot be generated?</w:t>
      </w:r>
    </w:p>
    <w:p>
      <w:pPr>
        <w:pStyle w:val="Heading2"/>
      </w:pPr>
      <w:r>
        <w:t>Direct answer</w:t>
      </w:r>
    </w:p>
    <w:p>
      <w:r>
        <w:t>Use prepareResultsPDF to start an asynchronous export of contributions in PDF format. After polling getResults with the ticket, the returned ZIP contains individual PDF files and uploaded files for the requested contributions.</w:t>
      </w:r>
    </w:p>
    <w:p>
      <w:pPr>
        <w:pStyle w:val="Heading2"/>
      </w:pPr>
      <w:r>
        <w:t>API summary</w:t>
      </w:r>
    </w:p>
    <w:tbl>
      <w:tblPr>
        <w:tblStyle w:val="TableGrid"/>
        <w:tblW w:type="auto" w:w="0"/>
        <w:jc w:val="left"/>
        <w:tblLook w:firstColumn="1" w:firstRow="1" w:lastColumn="0" w:lastRow="0" w:noHBand="0" w:noVBand="1" w:val="04A0"/>
      </w:tblPr>
      <w:tblGrid>
        <w:gridCol w:w="5112"/>
        <w:gridCol w:w="5112"/>
      </w:tblGrid>
      <w:tr>
        <w:tc>
          <w:tcPr>
            <w:tcW w:type="dxa" w:w="5112"/>
            <w:vAlign w:val="top"/>
          </w:tcPr>
          <w:p>
            <w:r/>
            <w:r>
              <w:rPr>
                <w:b/>
                <w:sz w:val="18"/>
              </w:rPr>
              <w:t>Status</w:t>
            </w:r>
          </w:p>
        </w:tc>
        <w:tc>
          <w:tcPr>
            <w:tcW w:type="dxa" w:w="5112"/>
            <w:vAlign w:val="top"/>
          </w:tcPr>
          <w:p>
            <w:r/>
            <w:r>
              <w:rPr>
                <w:b w:val="0"/>
                <w:sz w:val="18"/>
              </w:rPr>
              <w:t>Active</w:t>
            </w:r>
          </w:p>
        </w:tc>
      </w:tr>
      <w:tr>
        <w:tc>
          <w:tcPr>
            <w:tcW w:type="dxa" w:w="5112"/>
            <w:vAlign w:val="top"/>
          </w:tcPr>
          <w:p>
            <w:r/>
            <w:r>
              <w:rPr>
                <w:b/>
                <w:sz w:val="18"/>
              </w:rPr>
              <w:t>Endpoint</w:t>
            </w:r>
          </w:p>
        </w:tc>
        <w:tc>
          <w:tcPr>
            <w:tcW w:type="dxa" w:w="5112"/>
            <w:vAlign w:val="top"/>
          </w:tcPr>
          <w:p>
            <w:r/>
            <w:r>
              <w:rPr>
                <w:b w:val="0"/>
                <w:sz w:val="18"/>
              </w:rPr>
              <w:t>&lt;base_url&gt;/webservice/prepareResultsPDF/[Alias]/[Start]/[End]/[Type]</w:t>
            </w:r>
          </w:p>
        </w:tc>
      </w:tr>
      <w:tr>
        <w:tc>
          <w:tcPr>
            <w:tcW w:type="dxa" w:w="5112"/>
            <w:vAlign w:val="top"/>
          </w:tcPr>
          <w:p>
            <w:r/>
            <w:r>
              <w:rPr>
                <w:b/>
                <w:sz w:val="18"/>
              </w:rPr>
              <w:t>Supported method(s)</w:t>
            </w:r>
          </w:p>
        </w:tc>
        <w:tc>
          <w:tcPr>
            <w:tcW w:type="dxa" w:w="5112"/>
            <w:vAlign w:val="top"/>
          </w:tcPr>
          <w:p>
            <w:r/>
            <w:r>
              <w:rPr>
                <w:b w:val="0"/>
                <w:sz w:val="18"/>
              </w:rPr>
              <w:t>GET</w:t>
            </w:r>
          </w:p>
        </w:tc>
      </w:tr>
      <w:tr>
        <w:tc>
          <w:tcPr>
            <w:tcW w:type="dxa" w:w="5112"/>
            <w:vAlign w:val="top"/>
          </w:tcPr>
          <w:p>
            <w:r/>
            <w:r>
              <w:rPr>
                <w:b/>
                <w:sz w:val="18"/>
              </w:rPr>
              <w:t>Required privilege</w:t>
            </w:r>
          </w:p>
        </w:tc>
        <w:tc>
          <w:tcPr>
            <w:tcW w:type="dxa" w:w="5112"/>
            <w:vAlign w:val="top"/>
          </w:tcPr>
          <w:p>
            <w:r/>
            <w:r>
              <w:rPr>
                <w:b w:val="0"/>
                <w:sz w:val="18"/>
              </w:rPr>
              <w:t>Results RO</w:t>
            </w:r>
          </w:p>
        </w:tc>
      </w:tr>
    </w:tbl>
    <w:p>
      <w:pPr>
        <w:pStyle w:val="Heading2"/>
      </w:pPr>
      <w:r>
        <w:t>Parameters and input</w:t>
      </w:r>
    </w:p>
    <w:tbl>
      <w:tblPr>
        <w:tblStyle w:val="TableGrid"/>
        <w:tblW w:type="auto" w:w="0"/>
        <w:jc w:val="left"/>
        <w:tblLook w:firstColumn="1" w:firstRow="1" w:lastColumn="0" w:lastRow="0" w:noHBand="0" w:noVBand="1" w:val="04A0"/>
      </w:tblPr>
      <w:tblGrid>
        <w:gridCol w:w="5112"/>
        <w:gridCol w:w="5112"/>
      </w:tblGrid>
      <w:tr>
        <w:tc>
          <w:tcPr>
            <w:tcW w:type="dxa" w:w="5112"/>
            <w:vAlign w:val="top"/>
          </w:tcPr>
          <w:p>
            <w:r/>
            <w:r>
              <w:rPr>
                <w:b/>
                <w:sz w:val="18"/>
              </w:rPr>
              <w:t>Alias</w:t>
            </w:r>
          </w:p>
        </w:tc>
        <w:tc>
          <w:tcPr>
            <w:tcW w:type="dxa" w:w="5112"/>
            <w:vAlign w:val="top"/>
          </w:tcPr>
          <w:p>
            <w:r/>
            <w:r>
              <w:rPr>
                <w:b w:val="0"/>
                <w:sz w:val="18"/>
              </w:rPr>
              <w:t>Survey alias.</w:t>
            </w:r>
          </w:p>
        </w:tc>
      </w:tr>
      <w:tr>
        <w:tc>
          <w:tcPr>
            <w:tcW w:type="dxa" w:w="5112"/>
            <w:vAlign w:val="top"/>
          </w:tcPr>
          <w:p>
            <w:r/>
            <w:r>
              <w:rPr>
                <w:b/>
                <w:sz w:val="18"/>
              </w:rPr>
              <w:t>Start/End</w:t>
            </w:r>
          </w:p>
        </w:tc>
        <w:tc>
          <w:tcPr>
            <w:tcW w:type="dxa" w:w="5112"/>
            <w:vAlign w:val="top"/>
          </w:tcPr>
          <w:p>
            <w:r/>
            <w:r>
              <w:rPr>
                <w:b w:val="0"/>
                <w:sz w:val="18"/>
              </w:rPr>
              <w:t>Optional date range in yyyy-MM-dd_HH-mm-ss. Use 0 for open ranges.</w:t>
            </w:r>
          </w:p>
        </w:tc>
      </w:tr>
      <w:tr>
        <w:tc>
          <w:tcPr>
            <w:tcW w:type="dxa" w:w="5112"/>
            <w:vAlign w:val="top"/>
          </w:tcPr>
          <w:p>
            <w:r/>
            <w:r>
              <w:rPr>
                <w:b/>
                <w:sz w:val="18"/>
              </w:rPr>
              <w:t>Type</w:t>
            </w:r>
          </w:p>
        </w:tc>
        <w:tc>
          <w:tcPr>
            <w:tcW w:type="dxa" w:w="5112"/>
            <w:vAlign w:val="top"/>
          </w:tcPr>
          <w:p>
            <w:r/>
            <w:r>
              <w:rPr>
                <w:b w:val="0"/>
                <w:sz w:val="18"/>
              </w:rPr>
              <w:t>N for new contributions, U for updated contributions, A for both. Default is N when omitted; 0 uses the default implementation.</w:t>
            </w:r>
          </w:p>
        </w:tc>
      </w:tr>
    </w:tbl>
    <w:p>
      <w:pPr>
        <w:pStyle w:val="Heading2"/>
      </w:pPr>
      <w:r>
        <w:t>Expected output</w:t>
      </w:r>
    </w:p>
    <w:p>
      <w:pPr>
        <w:pStyle w:val="ListBullet"/>
      </w:pPr>
      <w:r>
        <w:t>Returns HTTP 202 with a ticket.</w:t>
      </w:r>
    </w:p>
    <w:p>
      <w:pPr>
        <w:pStyle w:val="ListBullet"/>
      </w:pPr>
      <w:r>
        <w:t>getResults returns a ZIP named results_pdf-&lt;alias&gt;[_&lt;start-date&gt;][_to_&lt;end-date&gt;].zip.</w:t>
      </w:r>
    </w:p>
    <w:p>
      <w:pPr>
        <w:pStyle w:val="ListBullet"/>
      </w:pPr>
      <w:r>
        <w:t>ZIP contains one directory per TokenID with a PDF and uploaded files.</w:t>
      </w:r>
    </w:p>
    <w:p>
      <w:pPr>
        <w:pStyle w:val="Heading2"/>
      </w:pPr>
      <w:r>
        <w:t>Main HTTP responses</w:t>
      </w:r>
    </w:p>
    <w:tbl>
      <w:tblPr>
        <w:tblStyle w:val="TableGrid"/>
        <w:tblW w:type="auto" w:w="0"/>
        <w:jc w:val="left"/>
        <w:tblLook w:firstColumn="1" w:firstRow="1" w:lastColumn="0" w:lastRow="0" w:noHBand="0" w:noVBand="1" w:val="04A0"/>
      </w:tblPr>
      <w:tblGrid>
        <w:gridCol w:w="5112"/>
        <w:gridCol w:w="5112"/>
      </w:tblGrid>
      <w:tr>
        <w:tc>
          <w:tcPr>
            <w:tcW w:type="dxa" w:w="5112"/>
            <w:vAlign w:val="top"/>
          </w:tcPr>
          <w:p>
            <w:r/>
            <w:r>
              <w:rPr>
                <w:b/>
                <w:sz w:val="18"/>
              </w:rPr>
              <w:t>202 Accepted</w:t>
            </w:r>
          </w:p>
        </w:tc>
        <w:tc>
          <w:tcPr>
            <w:tcW w:type="dxa" w:w="5112"/>
            <w:vAlign w:val="top"/>
          </w:tcPr>
          <w:p>
            <w:r/>
            <w:r>
              <w:rPr>
                <w:b w:val="0"/>
                <w:sz w:val="18"/>
              </w:rPr>
              <w:t>PDF export request accepted; ticket returned.</w:t>
            </w:r>
          </w:p>
        </w:tc>
      </w:tr>
      <w:tr>
        <w:tc>
          <w:tcPr>
            <w:tcW w:type="dxa" w:w="5112"/>
            <w:vAlign w:val="top"/>
          </w:tcPr>
          <w:p>
            <w:r/>
            <w:r>
              <w:rPr>
                <w:b/>
                <w:sz w:val="18"/>
              </w:rPr>
              <w:t>412 Precondition Failed</w:t>
            </w:r>
          </w:p>
        </w:tc>
        <w:tc>
          <w:tcPr>
            <w:tcW w:type="dxa" w:w="5112"/>
            <w:vAlign w:val="top"/>
          </w:tcPr>
          <w:p>
            <w:r/>
            <w:r>
              <w:rPr>
                <w:b w:val="0"/>
                <w:sz w:val="18"/>
              </w:rPr>
              <w:t>Alias does not exist, alias was never published, specified token is invalid, or survey is archived.</w:t>
            </w:r>
          </w:p>
        </w:tc>
      </w:tr>
      <w:tr>
        <w:tc>
          <w:tcPr>
            <w:tcW w:type="dxa" w:w="5112"/>
            <w:vAlign w:val="top"/>
          </w:tcPr>
          <w:p>
            <w:r/>
            <w:r>
              <w:rPr>
                <w:b/>
                <w:sz w:val="18"/>
              </w:rPr>
              <w:t>403 Forbidden</w:t>
            </w:r>
          </w:p>
        </w:tc>
        <w:tc>
          <w:tcPr>
            <w:tcW w:type="dxa" w:w="5112"/>
            <w:vAlign w:val="top"/>
          </w:tcPr>
          <w:p>
            <w:r/>
            <w:r>
              <w:rPr>
                <w:b w:val="0"/>
                <w:sz w:val="18"/>
              </w:rPr>
              <w:t>Wrong username/password, missing required privilege, or user not allowed to perform the operation.</w:t>
            </w:r>
          </w:p>
        </w:tc>
      </w:tr>
      <w:tr>
        <w:tc>
          <w:tcPr>
            <w:tcW w:type="dxa" w:w="5112"/>
            <w:vAlign w:val="top"/>
          </w:tcPr>
          <w:p>
            <w:r/>
            <w:r>
              <w:rPr>
                <w:b/>
                <w:sz w:val="18"/>
              </w:rPr>
              <w:t>404 Not Found</w:t>
            </w:r>
          </w:p>
        </w:tc>
        <w:tc>
          <w:tcPr>
            <w:tcW w:type="dxa" w:w="5112"/>
            <w:vAlign w:val="top"/>
          </w:tcPr>
          <w:p>
            <w:r/>
            <w:r>
              <w:rPr>
                <w:b w:val="0"/>
                <w:sz w:val="18"/>
              </w:rPr>
              <w:t>Unknown service or missing parameters.</w:t>
            </w:r>
          </w:p>
        </w:tc>
      </w:tr>
      <w:tr>
        <w:tc>
          <w:tcPr>
            <w:tcW w:type="dxa" w:w="5112"/>
            <w:vAlign w:val="top"/>
          </w:tcPr>
          <w:p>
            <w:r/>
            <w:r>
              <w:rPr>
                <w:b/>
                <w:sz w:val="18"/>
              </w:rPr>
              <w:t>412 Precondition Failed</w:t>
            </w:r>
          </w:p>
        </w:tc>
        <w:tc>
          <w:tcPr>
            <w:tcW w:type="dxa" w:w="5112"/>
            <w:vAlign w:val="top"/>
          </w:tcPr>
          <w:p>
            <w:r/>
            <w:r>
              <w:rPr>
                <w:b w:val="0"/>
                <w:sz w:val="18"/>
              </w:rPr>
              <w:t>A prerequisite is not met, such as missing survey, wrong parameter format, archived survey, or invalid identifier.</w:t>
            </w:r>
          </w:p>
        </w:tc>
      </w:tr>
      <w:tr>
        <w:tc>
          <w:tcPr>
            <w:tcW w:type="dxa" w:w="5112"/>
            <w:vAlign w:val="top"/>
          </w:tcPr>
          <w:p>
            <w:r/>
            <w:r>
              <w:rPr>
                <w:b/>
                <w:sz w:val="18"/>
              </w:rPr>
              <w:t>429 Too Many Requests</w:t>
            </w:r>
          </w:p>
        </w:tc>
        <w:tc>
          <w:tcPr>
            <w:tcW w:type="dxa" w:w="5112"/>
            <w:vAlign w:val="top"/>
          </w:tcPr>
          <w:p>
            <w:r/>
            <w:r>
              <w:rPr>
                <w:b w:val="0"/>
                <w:sz w:val="18"/>
              </w:rPr>
              <w:t>Daily API request limit exceeded.</w:t>
            </w:r>
          </w:p>
        </w:tc>
      </w:tr>
    </w:tbl>
    <w:p>
      <w:pPr>
        <w:pStyle w:val="Heading2"/>
      </w:pPr>
      <w:r>
        <w:t>Important notes</w:t>
      </w:r>
    </w:p>
    <w:p>
      <w:pPr>
        <w:pStyle w:val="ListBullet"/>
      </w:pPr>
      <w:r>
        <w:t>If PDF creation fails, an error.txt file is placed in the root directory of the ZIP.</w:t>
      </w:r>
    </w:p>
    <w:p>
      <w:pPr>
        <w:pStyle w:val="ListBullet"/>
      </w:pPr>
      <w:r>
        <w:t>PDF creation is stopped after three errors to protect system health; error.txt may contain “more errors…” if processing was stopped.</w:t>
      </w:r>
    </w:p>
    <w:p>
      <w:pPr>
        <w:pStyle w:val="Heading2"/>
      </w:pPr>
      <w:r>
        <w:t>Related articles</w:t>
      </w:r>
    </w:p>
    <w:p>
      <w:pPr>
        <w:pStyle w:val="ListBullet"/>
      </w:pPr>
      <w:r>
        <w:t>WS-006 - Use asynchronous tickets and getResults</w:t>
      </w:r>
    </w:p>
    <w:p>
      <w:pPr>
        <w:pStyle w:val="ListBullet"/>
      </w:pPr>
      <w:r>
        <w:t>WS-023 - Prepare combined result exports</w:t>
      </w:r>
    </w:p>
    <w:p>
      <w:pPr>
        <w:pStyle w:val="Heading2"/>
      </w:pPr>
      <w:r>
        <w:t>RAG metadata</w:t>
      </w:r>
    </w:p>
    <w:tbl>
      <w:tblPr>
        <w:tblStyle w:val="TableGrid"/>
        <w:tblW w:type="auto" w:w="0"/>
        <w:jc w:val="left"/>
        <w:tblLook w:firstColumn="1" w:firstRow="1" w:lastColumn="0" w:lastRow="0" w:noHBand="0" w:noVBand="1" w:val="04A0"/>
      </w:tblPr>
      <w:tblGrid>
        <w:gridCol w:w="5112"/>
        <w:gridCol w:w="5112"/>
      </w:tblGrid>
      <w:tr>
        <w:tc>
          <w:tcPr>
            <w:tcW w:type="dxa" w:w="5112"/>
            <w:vAlign w:val="top"/>
          </w:tcPr>
          <w:p>
            <w:r/>
            <w:r>
              <w:rPr>
                <w:b/>
                <w:sz w:val="18"/>
              </w:rPr>
              <w:t>Product</w:t>
            </w:r>
          </w:p>
        </w:tc>
        <w:tc>
          <w:tcPr>
            <w:tcW w:type="dxa" w:w="5112"/>
            <w:vAlign w:val="top"/>
          </w:tcPr>
          <w:p>
            <w:r/>
            <w:r>
              <w:rPr>
                <w:b w:val="0"/>
                <w:sz w:val="18"/>
              </w:rPr>
              <w:t>EUSurvey</w:t>
            </w:r>
          </w:p>
        </w:tc>
      </w:tr>
      <w:tr>
        <w:tc>
          <w:tcPr>
            <w:tcW w:type="dxa" w:w="5112"/>
            <w:vAlign w:val="top"/>
          </w:tcPr>
          <w:p>
            <w:r/>
            <w:r>
              <w:rPr>
                <w:b/>
                <w:sz w:val="18"/>
              </w:rPr>
              <w:t>Audience</w:t>
            </w:r>
          </w:p>
        </w:tc>
        <w:tc>
          <w:tcPr>
            <w:tcW w:type="dxa" w:w="5112"/>
            <w:vAlign w:val="top"/>
          </w:tcPr>
          <w:p>
            <w:r/>
            <w:r>
              <w:rPr>
                <w:b w:val="0"/>
                <w:sz w:val="18"/>
              </w:rPr>
              <w:t>Technical integrators, developers, system users, survey managers using automation</w:t>
            </w:r>
          </w:p>
        </w:tc>
      </w:tr>
      <w:tr>
        <w:tc>
          <w:tcPr>
            <w:tcW w:type="dxa" w:w="5112"/>
            <w:vAlign w:val="top"/>
          </w:tcPr>
          <w:p>
            <w:r/>
            <w:r>
              <w:rPr>
                <w:b/>
                <w:sz w:val="18"/>
              </w:rPr>
              <w:t>Article type</w:t>
            </w:r>
          </w:p>
        </w:tc>
        <w:tc>
          <w:tcPr>
            <w:tcW w:type="dxa" w:w="5112"/>
            <w:vAlign w:val="top"/>
          </w:tcPr>
          <w:p>
            <w:r/>
            <w:r>
              <w:rPr>
                <w:b w:val="0"/>
                <w:sz w:val="18"/>
              </w:rPr>
              <w:t>Technical how-to</w:t>
            </w:r>
          </w:p>
        </w:tc>
      </w:tr>
      <w:tr>
        <w:tc>
          <w:tcPr>
            <w:tcW w:type="dxa" w:w="5112"/>
            <w:vAlign w:val="top"/>
          </w:tcPr>
          <w:p>
            <w:r/>
            <w:r>
              <w:rPr>
                <w:b/>
                <w:sz w:val="18"/>
              </w:rPr>
              <w:t>Status</w:t>
            </w:r>
          </w:p>
        </w:tc>
        <w:tc>
          <w:tcPr>
            <w:tcW w:type="dxa" w:w="5112"/>
            <w:vAlign w:val="top"/>
          </w:tcPr>
          <w:p>
            <w:r/>
            <w:r>
              <w:rPr>
                <w:b w:val="0"/>
                <w:sz w:val="18"/>
              </w:rPr>
              <w:t>Active</w:t>
            </w:r>
          </w:p>
        </w:tc>
      </w:tr>
      <w:tr>
        <w:tc>
          <w:tcPr>
            <w:tcW w:type="dxa" w:w="5112"/>
            <w:vAlign w:val="top"/>
          </w:tcPr>
          <w:p>
            <w:r/>
            <w:r>
              <w:rPr>
                <w:b/>
                <w:sz w:val="18"/>
              </w:rPr>
              <w:t>Source</w:t>
            </w:r>
          </w:p>
        </w:tc>
        <w:tc>
          <w:tcPr>
            <w:tcW w:type="dxa" w:w="5112"/>
            <w:vAlign w:val="top"/>
          </w:tcPr>
          <w:p>
            <w:r/>
            <w:r>
              <w:rPr>
                <w:b w:val="0"/>
                <w:sz w:val="18"/>
              </w:rPr>
              <w:t>EUSurvey Web-services API Specification, version 1.5.3.6, dated 16.07.2025</w:t>
            </w:r>
          </w:p>
        </w:tc>
      </w:tr>
      <w:tr>
        <w:tc>
          <w:tcPr>
            <w:tcW w:type="dxa" w:w="5112"/>
            <w:vAlign w:val="top"/>
          </w:tcPr>
          <w:p>
            <w:r/>
            <w:r>
              <w:rPr>
                <w:b/>
                <w:sz w:val="18"/>
              </w:rPr>
              <w:t>Content owner</w:t>
            </w:r>
          </w:p>
        </w:tc>
        <w:tc>
          <w:tcPr>
            <w:tcW w:type="dxa" w:w="5112"/>
            <w:vAlign w:val="top"/>
          </w:tcPr>
          <w:p>
            <w:r/>
            <w:r>
              <w:rPr>
                <w:b w:val="0"/>
                <w:sz w:val="18"/>
              </w:rPr>
              <w:t>EUSurvey team</w:t>
            </w:r>
          </w:p>
        </w:tc>
      </w:tr>
      <w:tr>
        <w:tc>
          <w:tcPr>
            <w:tcW w:type="dxa" w:w="5112"/>
            <w:vAlign w:val="top"/>
          </w:tcPr>
          <w:p>
            <w:r/>
            <w:r>
              <w:rPr>
                <w:b/>
                <w:sz w:val="18"/>
              </w:rPr>
              <w:t>Language</w:t>
            </w:r>
          </w:p>
        </w:tc>
        <w:tc>
          <w:tcPr>
            <w:tcW w:type="dxa" w:w="5112"/>
            <w:vAlign w:val="top"/>
          </w:tcPr>
          <w:p>
            <w:r/>
            <w:r>
              <w:rPr>
                <w:b w:val="0"/>
                <w:sz w:val="18"/>
              </w:rPr>
              <w:t>EN</w:t>
            </w:r>
          </w:p>
        </w:tc>
      </w:tr>
    </w:tbl>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60" w:after="60"/>
      <w:ind w:left="288"/>
    </w:pPr>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4.xml"/><Relationship Id="rId5" Type="http://schemas.openxmlformats.org/officeDocument/2006/relationships/settings" Target="settings.xml"/><Relationship Id="rId10" Type="http://schemas.openxmlformats.org/officeDocument/2006/relationships/customXml" Target="../customXml/item3.xml"/><Relationship Id="rId4" Type="http://schemas.microsoft.com/office/2007/relationships/stylesWithEffects" Target="stylesWithEffect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FE8DAEBAB9BA884591FD7B89E63AD785" ma:contentTypeVersion="14" ma:contentTypeDescription="Crée un document." ma:contentTypeScope="" ma:versionID="3dbad121f84a2e910ef8dc901efacba0">
  <xsd:schema xmlns:xsd="http://www.w3.org/2001/XMLSchema" xmlns:xs="http://www.w3.org/2001/XMLSchema" xmlns:p="http://schemas.microsoft.com/office/2006/metadata/properties" xmlns:ns2="c104a7e3-e0a9-46cf-92ee-9b62dc9a36e8" xmlns:ns3="641315ca-0572-423e-bd92-cff020455c2a" targetNamespace="http://schemas.microsoft.com/office/2006/metadata/properties" ma:root="true" ma:fieldsID="05fdd14874ae0c005c1998f315319c1c" ns2:_="" ns3:_="">
    <xsd:import namespace="c104a7e3-e0a9-46cf-92ee-9b62dc9a36e8"/>
    <xsd:import namespace="641315ca-0572-423e-bd92-cff020455c2a"/>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3:SharedWithUsers" minOccurs="0"/>
                <xsd:element ref="ns3:SharedWithDetail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104a7e3-e0a9-46cf-92ee-9b62dc9a36e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lcf76f155ced4ddcb4097134ff3c332f" ma:index="15" nillable="true" ma:taxonomy="true" ma:internalName="lcf76f155ced4ddcb4097134ff3c332f" ma:taxonomyFieldName="MediaServiceImageTags" ma:displayName="Balises d’images" ma:readOnly="false" ma:fieldId="{5cf76f15-5ced-4ddc-b409-7134ff3c332f}" ma:taxonomyMulti="true" ma:sspId="22b2fad6-9d2c-441c-a321-3f5f1e9bd928"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41315ca-0572-423e-bd92-cff020455c2a" elementFormDefault="qualified">
    <xsd:import namespace="http://schemas.microsoft.com/office/2006/documentManagement/types"/>
    <xsd:import namespace="http://schemas.microsoft.com/office/infopath/2007/PartnerControls"/>
    <xsd:element name="SharedWithUsers" ma:index="12"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Partagé avec détails" ma:internalName="SharedWithDetails" ma:readOnly="true">
      <xsd:simpleType>
        <xsd:restriction base="dms:Note">
          <xsd:maxLength value="255"/>
        </xsd:restriction>
      </xsd:simpleType>
    </xsd:element>
    <xsd:element name="TaxCatchAll" ma:index="16" nillable="true" ma:displayName="Taxonomy Catch All Column" ma:hidden="true" ma:list="{c8ef5d07-265e-4396-b326-c30770c4dd14}" ma:internalName="TaxCatchAll" ma:showField="CatchAllData" ma:web="641315ca-0572-423e-bd92-cff020455c2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641315ca-0572-423e-bd92-cff020455c2a" xsi:nil="true"/>
    <lcf76f155ced4ddcb4097134ff3c332f xmlns="c104a7e3-e0a9-46cf-92ee-9b62dc9a36e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2353D880-8C4D-42A9-939D-0A1754E5DDB9}"/>
</file>

<file path=customXml/itemProps3.xml><?xml version="1.0" encoding="utf-8"?>
<ds:datastoreItem xmlns:ds="http://schemas.openxmlformats.org/officeDocument/2006/customXml" ds:itemID="{04C5A1E4-672D-4998-B4F2-14F62E74E05B}"/>
</file>

<file path=customXml/itemProps4.xml><?xml version="1.0" encoding="utf-8"?>
<ds:datastoreItem xmlns:ds="http://schemas.openxmlformats.org/officeDocument/2006/customXml" ds:itemID="{40898E51-23EC-4A23-89B7-D6D98F205B15}"/>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WS-022 - Prepare PDF result exports</dc:title>
  <dc:subject>Normalized RAG-optimized EUSurvey web services KB article</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0x010100FE8DAEBAB9BA884591FD7B89E63AD785</vt:lpwstr>
  </property>
</Properties>
</file>