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WS-046 - Interpret matrix XML in result exports</w:t>
      </w:r>
    </w:p>
    <w:p>
      <w:r>
        <w:rPr>
          <w:i/>
        </w:rPr>
        <w:t>Normalized KB article for technical integration with EUSurvey.</w:t>
      </w:r>
    </w:p>
    <w:p>
      <w:pPr>
        <w:pStyle w:val="Heading2"/>
      </w:pPr>
      <w:r>
        <w:t>Purpose</w:t>
      </w:r>
    </w:p>
    <w:p>
      <w:r>
        <w:t>Explain how single-choice and multiple-choice matrix answers are represented in EUSurvey XML exports.</w:t>
      </w:r>
    </w:p>
    <w:p>
      <w:pPr>
        <w:pStyle w:val="Heading2"/>
      </w:pPr>
      <w:r>
        <w:t>Applies to</w:t>
      </w:r>
    </w:p>
    <w:p>
      <w:pPr>
        <w:pStyle w:val="ListBullet"/>
      </w:pPr>
      <w:r>
        <w:t>EUSurvey Web-services API</w:t>
      </w:r>
    </w:p>
    <w:p>
      <w:pPr>
        <w:pStyle w:val="ListBullet"/>
      </w:pPr>
      <w:r>
        <w:t>System users authenticated with Basic Authentication</w:t>
      </w:r>
    </w:p>
    <w:p>
      <w:pPr>
        <w:pStyle w:val="Heading2"/>
      </w:pPr>
      <w:r>
        <w:t>User question examples</w:t>
      </w:r>
    </w:p>
    <w:p>
      <w:pPr>
        <w:pStyle w:val="ListBullet"/>
      </w:pPr>
      <w:r>
        <w:t>How are matrix answers represented in XML?</w:t>
      </w:r>
    </w:p>
    <w:p>
      <w:pPr>
        <w:pStyle w:val="ListBullet"/>
      </w:pPr>
      <w:r>
        <w:t>How do I read a single-choice matrix export?</w:t>
      </w:r>
    </w:p>
    <w:p>
      <w:pPr>
        <w:pStyle w:val="ListBullet"/>
      </w:pPr>
      <w:r>
        <w:t>How do I read a multiple-choice matrix export?</w:t>
      </w:r>
    </w:p>
    <w:p>
      <w:pPr>
        <w:pStyle w:val="Heading2"/>
      </w:pPr>
      <w:r>
        <w:t>Direct answer</w:t>
      </w:r>
    </w:p>
    <w:p>
      <w:r>
        <w:t>In XML result exports, a matrix is represented by MatrixTitle, MatrixQuestion rows, MatrixAnswer columns and MatrixCell definitions. Submitted matrix selections are represented by Answer elements that use qid for the row and aid for the selected column. Answers are only given for matrix cells selected by the participant.</w:t>
      </w:r>
    </w:p>
    <w:p>
      <w:pPr>
        <w:pStyle w:val="Heading2"/>
      </w:pPr>
      <w:r>
        <w:t>Guidance / procedure</w:t>
      </w:r>
    </w:p>
    <w:p>
      <w:pPr>
        <w:pStyle w:val="ListNumber"/>
      </w:pPr>
      <w:r>
        <w:t>Read MatrixTitle to identify the matrix question.</w:t>
      </w:r>
    </w:p>
    <w:p>
      <w:pPr>
        <w:pStyle w:val="ListNumber"/>
      </w:pPr>
      <w:r>
        <w:t>Map MatrixQuestion entries to matrix rows.</w:t>
      </w:r>
    </w:p>
    <w:p>
      <w:pPr>
        <w:pStyle w:val="ListNumber"/>
      </w:pPr>
      <w:r>
        <w:t>Map MatrixAnswer entries to matrix columns.</w:t>
      </w:r>
    </w:p>
    <w:p>
      <w:pPr>
        <w:pStyle w:val="ListNumber"/>
      </w:pPr>
      <w:r>
        <w:t>Use MatrixCell definitions to understand possible row-column combinations.</w:t>
      </w:r>
    </w:p>
    <w:p>
      <w:pPr>
        <w:pStyle w:val="ListNumber"/>
      </w:pPr>
      <w:r>
        <w:t>In AnswerSet entries, read each Answer qid/aid pair as a selected cell.</w:t>
      </w:r>
    </w:p>
    <w:p>
      <w:pPr>
        <w:pStyle w:val="Heading2"/>
      </w:pPr>
      <w:r>
        <w:t>Important notes</w:t>
      </w:r>
    </w:p>
    <w:p>
      <w:pPr>
        <w:pStyle w:val="ListBullet"/>
      </w:pPr>
      <w:r>
        <w:t>The same qid/aid logic applies to both single-choice and multiple-choice matrices.</w:t>
      </w:r>
    </w:p>
    <w:p>
      <w:pPr>
        <w:pStyle w:val="ListBullet"/>
      </w:pPr>
      <w:r>
        <w:t>In multiple-choice matrices, several Answer entries may refer to the same row because multiple columns can be selected.</w:t>
      </w:r>
    </w:p>
    <w:p>
      <w:pPr>
        <w:pStyle w:val="Heading2"/>
      </w:pPr>
      <w:r>
        <w:t>Related articles</w:t>
      </w:r>
    </w:p>
    <w:p>
      <w:pPr>
        <w:pStyle w:val="ListBullet"/>
      </w:pPr>
      <w:r>
        <w:t>WS-021 - Understand XML results structure</w:t>
      </w:r>
    </w:p>
    <w:p>
      <w:pPr>
        <w:pStyle w:val="ListBullet"/>
      </w:pPr>
      <w:r>
        <w:t>WS-045 - Interpret table XML in result exports</w:t>
      </w:r>
    </w:p>
    <w:p>
      <w:pPr>
        <w:pStyle w:val="Heading2"/>
      </w:pPr>
      <w:r>
        <w:t>RAG metadata</w:t>
      </w:r>
    </w:p>
    <w:tbl>
      <w:tblPr>
        <w:tblStyle w:val="TableGrid"/>
        <w:tblW w:type="auto" w:w="0"/>
        <w:jc w:val="left"/>
        <w:tblLook w:firstColumn="1" w:firstRow="1" w:lastColumn="0" w:lastRow="0" w:noHBand="0" w:noVBand="1" w:val="04A0"/>
      </w:tblPr>
      <w:tblGrid>
        <w:gridCol w:w="5112"/>
        <w:gridCol w:w="5112"/>
      </w:tblGrid>
      <w:tr>
        <w:tc>
          <w:tcPr>
            <w:tcW w:type="dxa" w:w="5112"/>
            <w:vAlign w:val="top"/>
          </w:tcPr>
          <w:p>
            <w:r/>
            <w:r>
              <w:rPr>
                <w:b/>
                <w:sz w:val="18"/>
              </w:rPr>
              <w:t>Product</w:t>
            </w:r>
          </w:p>
        </w:tc>
        <w:tc>
          <w:tcPr>
            <w:tcW w:type="dxa" w:w="5112"/>
            <w:vAlign w:val="top"/>
          </w:tcPr>
          <w:p>
            <w:r/>
            <w:r>
              <w:rPr>
                <w:b w:val="0"/>
                <w:sz w:val="18"/>
              </w:rPr>
              <w:t>EUSurvey</w:t>
            </w:r>
          </w:p>
        </w:tc>
      </w:tr>
      <w:tr>
        <w:tc>
          <w:tcPr>
            <w:tcW w:type="dxa" w:w="5112"/>
            <w:vAlign w:val="top"/>
          </w:tcPr>
          <w:p>
            <w:r/>
            <w:r>
              <w:rPr>
                <w:b/>
                <w:sz w:val="18"/>
              </w:rPr>
              <w:t>Audience</w:t>
            </w:r>
          </w:p>
        </w:tc>
        <w:tc>
          <w:tcPr>
            <w:tcW w:type="dxa" w:w="5112"/>
            <w:vAlign w:val="top"/>
          </w:tcPr>
          <w:p>
            <w:r/>
            <w:r>
              <w:rPr>
                <w:b w:val="0"/>
                <w:sz w:val="18"/>
              </w:rPr>
              <w:t>Technical integrators, developers, system users, survey managers using automation</w:t>
            </w:r>
          </w:p>
        </w:tc>
      </w:tr>
      <w:tr>
        <w:tc>
          <w:tcPr>
            <w:tcW w:type="dxa" w:w="5112"/>
            <w:vAlign w:val="top"/>
          </w:tcPr>
          <w:p>
            <w:r/>
            <w:r>
              <w:rPr>
                <w:b/>
                <w:sz w:val="18"/>
              </w:rPr>
              <w:t>Article type</w:t>
            </w:r>
          </w:p>
        </w:tc>
        <w:tc>
          <w:tcPr>
            <w:tcW w:type="dxa" w:w="5112"/>
            <w:vAlign w:val="top"/>
          </w:tcPr>
          <w:p>
            <w:r/>
            <w:r>
              <w:rPr>
                <w:b w:val="0"/>
                <w:sz w:val="18"/>
              </w:rPr>
              <w:t>Technical reference</w:t>
            </w:r>
          </w:p>
        </w:tc>
      </w:tr>
      <w:tr>
        <w:tc>
          <w:tcPr>
            <w:tcW w:type="dxa" w:w="5112"/>
            <w:vAlign w:val="top"/>
          </w:tcPr>
          <w:p>
            <w:r/>
            <w:r>
              <w:rPr>
                <w:b/>
                <w:sz w:val="18"/>
              </w:rPr>
              <w:t>Status</w:t>
            </w:r>
          </w:p>
        </w:tc>
        <w:tc>
          <w:tcPr>
            <w:tcW w:type="dxa" w:w="5112"/>
            <w:vAlign w:val="top"/>
          </w:tcPr>
          <w:p>
            <w:r/>
            <w:r>
              <w:rPr>
                <w:b w:val="0"/>
                <w:sz w:val="18"/>
              </w:rPr>
              <w:t>Active</w:t>
            </w:r>
          </w:p>
        </w:tc>
      </w:tr>
      <w:tr>
        <w:tc>
          <w:tcPr>
            <w:tcW w:type="dxa" w:w="5112"/>
            <w:vAlign w:val="top"/>
          </w:tcPr>
          <w:p>
            <w:r/>
            <w:r>
              <w:rPr>
                <w:b/>
                <w:sz w:val="18"/>
              </w:rPr>
              <w:t>Source</w:t>
            </w:r>
          </w:p>
        </w:tc>
        <w:tc>
          <w:tcPr>
            <w:tcW w:type="dxa" w:w="5112"/>
            <w:vAlign w:val="top"/>
          </w:tcPr>
          <w:p>
            <w:r/>
            <w:r>
              <w:rPr>
                <w:b w:val="0"/>
                <w:sz w:val="18"/>
              </w:rPr>
              <w:t>EUSurvey Web-services API Specification, version 1.5.3.6, dated 16.07.2025</w:t>
            </w:r>
          </w:p>
        </w:tc>
      </w:tr>
      <w:tr>
        <w:tc>
          <w:tcPr>
            <w:tcW w:type="dxa" w:w="5112"/>
            <w:vAlign w:val="top"/>
          </w:tcPr>
          <w:p>
            <w:r/>
            <w:r>
              <w:rPr>
                <w:b/>
                <w:sz w:val="18"/>
              </w:rPr>
              <w:t>Content owner</w:t>
            </w:r>
          </w:p>
        </w:tc>
        <w:tc>
          <w:tcPr>
            <w:tcW w:type="dxa" w:w="5112"/>
            <w:vAlign w:val="top"/>
          </w:tcPr>
          <w:p>
            <w:r/>
            <w:r>
              <w:rPr>
                <w:b w:val="0"/>
                <w:sz w:val="18"/>
              </w:rPr>
              <w:t>EUSurvey team</w:t>
            </w:r>
          </w:p>
        </w:tc>
      </w:tr>
      <w:tr>
        <w:tc>
          <w:tcPr>
            <w:tcW w:type="dxa" w:w="5112"/>
            <w:vAlign w:val="top"/>
          </w:tcPr>
          <w:p>
            <w:r/>
            <w:r>
              <w:rPr>
                <w:b/>
                <w:sz w:val="18"/>
              </w:rPr>
              <w:t>Language</w:t>
            </w:r>
          </w:p>
        </w:tc>
        <w:tc>
          <w:tcPr>
            <w:tcW w:type="dxa" w:w="5112"/>
            <w:vAlign w:val="top"/>
          </w:tcPr>
          <w:p>
            <w:r/>
            <w:r>
              <w:rPr>
                <w:b w:val="0"/>
                <w:sz w:val="18"/>
              </w:rPr>
              <w:t>EN</w:t>
            </w:r>
          </w:p>
        </w:tc>
      </w:tr>
      <w:tr>
        <w:tc>
          <w:tcPr>
            <w:tcW w:type="dxa" w:w="5112"/>
            <w:vAlign w:val="top"/>
          </w:tcPr>
          <w:p>
            <w:r/>
            <w:r>
              <w:rPr>
                <w:b/>
                <w:sz w:val="18"/>
              </w:rPr>
              <w:t>Feature</w:t>
            </w:r>
          </w:p>
        </w:tc>
        <w:tc>
          <w:tcPr>
            <w:tcW w:type="dxa" w:w="5112"/>
            <w:vAlign w:val="top"/>
          </w:tcPr>
          <w:p>
            <w:r/>
            <w:r>
              <w:rPr>
                <w:b w:val="0"/>
                <w:sz w:val="18"/>
              </w:rPr>
              <w:t>Results XML</w:t>
            </w:r>
          </w:p>
        </w:tc>
      </w:tr>
      <w:tr>
        <w:tc>
          <w:tcPr>
            <w:tcW w:type="dxa" w:w="5112"/>
            <w:vAlign w:val="top"/>
          </w:tcPr>
          <w:p>
            <w:r/>
            <w:r>
              <w:rPr>
                <w:b/>
                <w:sz w:val="18"/>
              </w:rPr>
              <w:t>Keywords</w:t>
            </w:r>
          </w:p>
        </w:tc>
        <w:tc>
          <w:tcPr>
            <w:tcW w:type="dxa" w:w="5112"/>
            <w:vAlign w:val="top"/>
          </w:tcPr>
          <w:p>
            <w:r/>
            <w:r>
              <w:rPr>
                <w:b w:val="0"/>
                <w:sz w:val="18"/>
              </w:rPr>
              <w:t>matrix XML, MatrixTitle, MatrixQuestion, MatrixAnswer, MatrixCell, qid, aid</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92580D1-1C87-4DD0-87E8-1193FB29BB29}"/>
</file>

<file path=customXml/itemProps3.xml><?xml version="1.0" encoding="utf-8"?>
<ds:datastoreItem xmlns:ds="http://schemas.openxmlformats.org/officeDocument/2006/customXml" ds:itemID="{AA3A1E1E-33D7-4D3F-B441-D531CED389A9}"/>
</file>

<file path=customXml/itemProps4.xml><?xml version="1.0" encoding="utf-8"?>
<ds:datastoreItem xmlns:ds="http://schemas.openxmlformats.org/officeDocument/2006/customXml" ds:itemID="{041E92DD-E362-4522-92A8-3F113817840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WS-046 - Interpret matrix XML in result exports</dc:title>
  <dc:subject>Normalized RAG-optimized EUSurvey web services KB article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