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WS-050 - Integration best practices for the EUSurvey Web-services API</w:t>
      </w:r>
    </w:p>
    <w:p>
      <w:r>
        <w:rPr>
          <w:i/>
        </w:rPr>
        <w:t>Normalized KB article for technical integration with EUSurvey.</w:t>
      </w:r>
    </w:p>
    <w:p>
      <w:pPr>
        <w:pStyle w:val="Heading2"/>
      </w:pPr>
      <w:r>
        <w:t>Purpose</w:t>
      </w:r>
    </w:p>
    <w:p>
      <w:r>
        <w:t>Provide practical implementation recommendations for developers integrating with the EUSurvey Web-services API.</w:t>
      </w:r>
    </w:p>
    <w:p>
      <w:pPr>
        <w:pStyle w:val="Heading2"/>
      </w:pPr>
      <w:r>
        <w:t>Applies to</w:t>
      </w:r>
    </w:p>
    <w:p>
      <w:pPr>
        <w:pStyle w:val="ListBullet"/>
      </w:pPr>
      <w:r>
        <w:t>EUSurvey Web-services API</w:t>
      </w:r>
    </w:p>
    <w:p>
      <w:pPr>
        <w:pStyle w:val="ListBullet"/>
      </w:pPr>
      <w:r>
        <w:t>System users authenticated with Basic Authentication</w:t>
      </w:r>
    </w:p>
    <w:p>
      <w:pPr>
        <w:pStyle w:val="Heading2"/>
      </w:pPr>
      <w:r>
        <w:t>User question examples</w:t>
      </w:r>
    </w:p>
    <w:p>
      <w:pPr>
        <w:pStyle w:val="ListBullet"/>
      </w:pPr>
      <w:r>
        <w:t>What are best practices for integrating with the EUSurvey API?</w:t>
      </w:r>
    </w:p>
    <w:p>
      <w:pPr>
        <w:pStyle w:val="ListBullet"/>
      </w:pPr>
      <w:r>
        <w:t>How should I design polling and error handling?</w:t>
      </w:r>
    </w:p>
    <w:p>
      <w:pPr>
        <w:pStyle w:val="ListBullet"/>
      </w:pPr>
      <w:r>
        <w:t>How do I avoid duplicate or unsafe API operations?</w:t>
      </w:r>
    </w:p>
    <w:p>
      <w:pPr>
        <w:pStyle w:val="Heading2"/>
      </w:pPr>
      <w:r>
        <w:t>Direct answer</w:t>
      </w:r>
    </w:p>
    <w:p>
      <w:r>
        <w:t>A robust EUSurvey integration should use a system user, validate privileges before running automated jobs, build complete documented URLs, handle asynchronous tickets safely, throttle polling to stay below request limits, log all HTTP responses, treat destructive operations carefully, and use current endpoints instead of deprecated ones.</w:t>
      </w:r>
    </w:p>
    <w:p>
      <w:pPr>
        <w:pStyle w:val="Heading2"/>
      </w:pPr>
      <w:r>
        <w:t>Guidance / procedure</w:t>
      </w:r>
    </w:p>
    <w:p>
      <w:pPr>
        <w:pStyle w:val="ListNumber"/>
      </w:pPr>
      <w:r>
        <w:t>Create a dedicated system user for the integration and assign only the required survey privileges.</w:t>
      </w:r>
    </w:p>
    <w:p>
      <w:pPr>
        <w:pStyle w:val="ListNumber"/>
      </w:pPr>
      <w:r>
        <w:t>Centralize Basic Authentication and protect credentials.</w:t>
      </w:r>
    </w:p>
    <w:p>
      <w:pPr>
        <w:pStyle w:val="ListNumber"/>
      </w:pPr>
      <w:r>
        <w:t>Build API requests from templates and validate required parameters before sending.</w:t>
      </w:r>
    </w:p>
    <w:p>
      <w:pPr>
        <w:pStyle w:val="ListNumber"/>
      </w:pPr>
      <w:r>
        <w:t>Use controlled polling or webhooks for asynchronous exports and token creation.</w:t>
      </w:r>
    </w:p>
    <w:p>
      <w:pPr>
        <w:pStyle w:val="ListNumber"/>
      </w:pPr>
      <w:r>
        <w:t>Store ticket IDs and correlate them with the original request.</w:t>
      </w:r>
    </w:p>
    <w:p>
      <w:pPr>
        <w:pStyle w:val="ListNumber"/>
      </w:pPr>
      <w:r>
        <w:t>Retry only safe operations and avoid blind retries for destructive calls such as deleteSurvey or deleteContribution.</w:t>
      </w:r>
    </w:p>
    <w:p>
      <w:pPr>
        <w:pStyle w:val="ListNumber"/>
      </w:pPr>
      <w:r>
        <w:t>Log HTTP status, endpoint, alias, ticket and correlation ID for support investigations.</w:t>
      </w:r>
    </w:p>
    <w:p>
      <w:pPr>
        <w:pStyle w:val="ListNumber"/>
      </w:pPr>
      <w:r>
        <w:t>Prefer prepareResultsXML instead of deprecated prepareResults.</w:t>
      </w:r>
    </w:p>
    <w:p>
      <w:pPr>
        <w:pStyle w:val="ListNumber"/>
      </w:pPr>
      <w:r>
        <w:t>Validate XML/JSON output schemas before importing data into downstream systems.</w:t>
      </w:r>
    </w:p>
    <w:p>
      <w:pPr>
        <w:pStyle w:val="ListNumber"/>
      </w:pPr>
      <w:r>
        <w:t>Monitor 429 errors and adjust scheduling or polling intervals.</w:t>
      </w:r>
    </w:p>
    <w:p>
      <w:pPr>
        <w:pStyle w:val="Heading2"/>
      </w:pPr>
      <w:r>
        <w:t>Important notes</w:t>
      </w:r>
    </w:p>
    <w:p>
      <w:pPr>
        <w:pStyle w:val="ListBullet"/>
      </w:pPr>
      <w:r>
        <w:t>Do not use normal EU Login credentials for API integrations.</w:t>
      </w:r>
    </w:p>
    <w:p>
      <w:pPr>
        <w:pStyle w:val="ListBullet"/>
      </w:pPr>
      <w:r>
        <w:t>Handle personal data in exported results according to the applicable data protection rules and the survey configuration.</w:t>
      </w:r>
    </w:p>
    <w:p>
      <w:pPr>
        <w:pStyle w:val="ListBullet"/>
      </w:pPr>
      <w:r>
        <w:t>Check for archived survey status when troubleshooting 412 errors.</w:t>
      </w:r>
    </w:p>
    <w:p>
      <w:pPr>
        <w:pStyle w:val="Heading2"/>
      </w:pPr>
      <w:r>
        <w:t>Related articles</w:t>
      </w:r>
    </w:p>
    <w:p>
      <w:pPr>
        <w:pStyle w:val="ListBullet"/>
      </w:pPr>
      <w:r>
        <w:t>WS-002 - Authenticate to the EUSurvey Web-services API</w:t>
      </w:r>
    </w:p>
    <w:p>
      <w:pPr>
        <w:pStyle w:val="ListBullet"/>
      </w:pPr>
      <w:r>
        <w:t>WS-005 - Handle API limits and common HTTP errors</w:t>
      </w:r>
    </w:p>
    <w:p>
      <w:pPr>
        <w:pStyle w:val="ListBullet"/>
      </w:pPr>
      <w:r>
        <w:t>WS-018 - Results API overview</w:t>
      </w:r>
    </w:p>
    <w:p>
      <w:pPr>
        <w:pStyle w:val="Heading2"/>
      </w:pPr>
      <w:r>
        <w:t>RAG metadata</w:t>
      </w:r>
    </w:p>
    <w:tbl>
      <w:tblPr>
        <w:tblStyle w:val="TableGrid"/>
        <w:tblW w:type="auto" w:w="0"/>
        <w:jc w:val="left"/>
        <w:tblLook w:firstColumn="1" w:firstRow="1" w:lastColumn="0" w:lastRow="0" w:noHBand="0" w:noVBand="1" w:val="04A0"/>
      </w:tblPr>
      <w:tblGrid>
        <w:gridCol w:w="5112"/>
        <w:gridCol w:w="5112"/>
      </w:tblGrid>
      <w:tr>
        <w:tc>
          <w:tcPr>
            <w:tcW w:type="dxa" w:w="5112"/>
            <w:vAlign w:val="top"/>
          </w:tcPr>
          <w:p>
            <w:r/>
            <w:r>
              <w:rPr>
                <w:b/>
                <w:sz w:val="18"/>
              </w:rPr>
              <w:t>Product</w:t>
            </w:r>
          </w:p>
        </w:tc>
        <w:tc>
          <w:tcPr>
            <w:tcW w:type="dxa" w:w="5112"/>
            <w:vAlign w:val="top"/>
          </w:tcPr>
          <w:p>
            <w:r/>
            <w:r>
              <w:rPr>
                <w:b w:val="0"/>
                <w:sz w:val="18"/>
              </w:rPr>
              <w:t>EUSurvey</w:t>
            </w:r>
          </w:p>
        </w:tc>
      </w:tr>
      <w:tr>
        <w:tc>
          <w:tcPr>
            <w:tcW w:type="dxa" w:w="5112"/>
            <w:vAlign w:val="top"/>
          </w:tcPr>
          <w:p>
            <w:r/>
            <w:r>
              <w:rPr>
                <w:b/>
                <w:sz w:val="18"/>
              </w:rPr>
              <w:t>Audience</w:t>
            </w:r>
          </w:p>
        </w:tc>
        <w:tc>
          <w:tcPr>
            <w:tcW w:type="dxa" w:w="5112"/>
            <w:vAlign w:val="top"/>
          </w:tcPr>
          <w:p>
            <w:r/>
            <w:r>
              <w:rPr>
                <w:b w:val="0"/>
                <w:sz w:val="18"/>
              </w:rPr>
              <w:t>Technical integrators, developers, system users, survey managers using automation</w:t>
            </w:r>
          </w:p>
        </w:tc>
      </w:tr>
      <w:tr>
        <w:tc>
          <w:tcPr>
            <w:tcW w:type="dxa" w:w="5112"/>
            <w:vAlign w:val="top"/>
          </w:tcPr>
          <w:p>
            <w:r/>
            <w:r>
              <w:rPr>
                <w:b/>
                <w:sz w:val="18"/>
              </w:rPr>
              <w:t>Article type</w:t>
            </w:r>
          </w:p>
        </w:tc>
        <w:tc>
          <w:tcPr>
            <w:tcW w:type="dxa" w:w="5112"/>
            <w:vAlign w:val="top"/>
          </w:tcPr>
          <w:p>
            <w:r/>
            <w:r>
              <w:rPr>
                <w:b w:val="0"/>
                <w:sz w:val="18"/>
              </w:rPr>
              <w:t>Technical guidance</w:t>
            </w:r>
          </w:p>
        </w:tc>
      </w:tr>
      <w:tr>
        <w:tc>
          <w:tcPr>
            <w:tcW w:type="dxa" w:w="5112"/>
            <w:vAlign w:val="top"/>
          </w:tcPr>
          <w:p>
            <w:r/>
            <w:r>
              <w:rPr>
                <w:b/>
                <w:sz w:val="18"/>
              </w:rPr>
              <w:t>Status</w:t>
            </w:r>
          </w:p>
        </w:tc>
        <w:tc>
          <w:tcPr>
            <w:tcW w:type="dxa" w:w="5112"/>
            <w:vAlign w:val="top"/>
          </w:tcPr>
          <w:p>
            <w:r/>
            <w:r>
              <w:rPr>
                <w:b w:val="0"/>
                <w:sz w:val="18"/>
              </w:rPr>
              <w:t>Active</w:t>
            </w:r>
          </w:p>
        </w:tc>
      </w:tr>
      <w:tr>
        <w:tc>
          <w:tcPr>
            <w:tcW w:type="dxa" w:w="5112"/>
            <w:vAlign w:val="top"/>
          </w:tcPr>
          <w:p>
            <w:r/>
            <w:r>
              <w:rPr>
                <w:b/>
                <w:sz w:val="18"/>
              </w:rPr>
              <w:t>Source</w:t>
            </w:r>
          </w:p>
        </w:tc>
        <w:tc>
          <w:tcPr>
            <w:tcW w:type="dxa" w:w="5112"/>
            <w:vAlign w:val="top"/>
          </w:tcPr>
          <w:p>
            <w:r/>
            <w:r>
              <w:rPr>
                <w:b w:val="0"/>
                <w:sz w:val="18"/>
              </w:rPr>
              <w:t>EUSurvey Web-services API Specification, version 1.5.3.6, dated 16.07.2025</w:t>
            </w:r>
          </w:p>
        </w:tc>
      </w:tr>
      <w:tr>
        <w:tc>
          <w:tcPr>
            <w:tcW w:type="dxa" w:w="5112"/>
            <w:vAlign w:val="top"/>
          </w:tcPr>
          <w:p>
            <w:r/>
            <w:r>
              <w:rPr>
                <w:b/>
                <w:sz w:val="18"/>
              </w:rPr>
              <w:t>Content owner</w:t>
            </w:r>
          </w:p>
        </w:tc>
        <w:tc>
          <w:tcPr>
            <w:tcW w:type="dxa" w:w="5112"/>
            <w:vAlign w:val="top"/>
          </w:tcPr>
          <w:p>
            <w:r/>
            <w:r>
              <w:rPr>
                <w:b w:val="0"/>
                <w:sz w:val="18"/>
              </w:rPr>
              <w:t>EUSurvey team</w:t>
            </w:r>
          </w:p>
        </w:tc>
      </w:tr>
      <w:tr>
        <w:tc>
          <w:tcPr>
            <w:tcW w:type="dxa" w:w="5112"/>
            <w:vAlign w:val="top"/>
          </w:tcPr>
          <w:p>
            <w:r/>
            <w:r>
              <w:rPr>
                <w:b/>
                <w:sz w:val="18"/>
              </w:rPr>
              <w:t>Language</w:t>
            </w:r>
          </w:p>
        </w:tc>
        <w:tc>
          <w:tcPr>
            <w:tcW w:type="dxa" w:w="5112"/>
            <w:vAlign w:val="top"/>
          </w:tcPr>
          <w:p>
            <w:r/>
            <w:r>
              <w:rPr>
                <w:b w:val="0"/>
                <w:sz w:val="18"/>
              </w:rPr>
              <w:t>EN</w:t>
            </w:r>
          </w:p>
        </w:tc>
      </w:tr>
      <w:tr>
        <w:tc>
          <w:tcPr>
            <w:tcW w:type="dxa" w:w="5112"/>
            <w:vAlign w:val="top"/>
          </w:tcPr>
          <w:p>
            <w:r/>
            <w:r>
              <w:rPr>
                <w:b/>
                <w:sz w:val="18"/>
              </w:rPr>
              <w:t>Feature</w:t>
            </w:r>
          </w:p>
        </w:tc>
        <w:tc>
          <w:tcPr>
            <w:tcW w:type="dxa" w:w="5112"/>
            <w:vAlign w:val="top"/>
          </w:tcPr>
          <w:p>
            <w:r/>
            <w:r>
              <w:rPr>
                <w:b w:val="0"/>
                <w:sz w:val="18"/>
              </w:rPr>
              <w:t>Integration design</w:t>
            </w:r>
          </w:p>
        </w:tc>
      </w:tr>
      <w:tr>
        <w:tc>
          <w:tcPr>
            <w:tcW w:type="dxa" w:w="5112"/>
            <w:vAlign w:val="top"/>
          </w:tcPr>
          <w:p>
            <w:r/>
            <w:r>
              <w:rPr>
                <w:b/>
                <w:sz w:val="18"/>
              </w:rPr>
              <w:t>Keywords</w:t>
            </w:r>
          </w:p>
        </w:tc>
        <w:tc>
          <w:tcPr>
            <w:tcW w:type="dxa" w:w="5112"/>
            <w:vAlign w:val="top"/>
          </w:tcPr>
          <w:p>
            <w:r/>
            <w:r>
              <w:rPr>
                <w:b w:val="0"/>
                <w:sz w:val="18"/>
              </w:rPr>
              <w:t>best practices, polling, webhook, credentials, logging, safe retries</w:t>
            </w:r>
          </w:p>
        </w:tc>
      </w:tr>
    </w:tbl>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60"/>
      <w:ind w:left="288"/>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E8DAEBAB9BA884591FD7B89E63AD785" ma:contentTypeVersion="14" ma:contentTypeDescription="Crée un document." ma:contentTypeScope="" ma:versionID="3dbad121f84a2e910ef8dc901efacba0">
  <xsd:schema xmlns:xsd="http://www.w3.org/2001/XMLSchema" xmlns:xs="http://www.w3.org/2001/XMLSchema" xmlns:p="http://schemas.microsoft.com/office/2006/metadata/properties" xmlns:ns2="c104a7e3-e0a9-46cf-92ee-9b62dc9a36e8" xmlns:ns3="641315ca-0572-423e-bd92-cff020455c2a" targetNamespace="http://schemas.microsoft.com/office/2006/metadata/properties" ma:root="true" ma:fieldsID="05fdd14874ae0c005c1998f315319c1c" ns2:_="" ns3:_="">
    <xsd:import namespace="c104a7e3-e0a9-46cf-92ee-9b62dc9a36e8"/>
    <xsd:import namespace="641315ca-0572-423e-bd92-cff020455c2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04a7e3-e0a9-46cf-92ee-9b62dc9a36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41315ca-0572-423e-bd92-cff020455c2a"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TaxCatchAll" ma:index="16" nillable="true" ma:displayName="Taxonomy Catch All Column" ma:hidden="true" ma:list="{c8ef5d07-265e-4396-b326-c30770c4dd14}" ma:internalName="TaxCatchAll" ma:showField="CatchAllData" ma:web="641315ca-0572-423e-bd92-cff020455c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41315ca-0572-423e-bd92-cff020455c2a" xsi:nil="true"/>
    <lcf76f155ced4ddcb4097134ff3c332f xmlns="c104a7e3-e0a9-46cf-92ee-9b62dc9a36e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7A16F1DB-9398-45E8-9797-9774A57E3425}"/>
</file>

<file path=customXml/itemProps3.xml><?xml version="1.0" encoding="utf-8"?>
<ds:datastoreItem xmlns:ds="http://schemas.openxmlformats.org/officeDocument/2006/customXml" ds:itemID="{4B3EF331-13E2-458C-9837-3257FA1C0C61}"/>
</file>

<file path=customXml/itemProps4.xml><?xml version="1.0" encoding="utf-8"?>
<ds:datastoreItem xmlns:ds="http://schemas.openxmlformats.org/officeDocument/2006/customXml" ds:itemID="{F9FA1287-D949-44DE-9F78-E644762C1548}"/>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WS-050 - Integration best practices for the EUSurvey Web-services API</dc:title>
  <dc:subject>Normalized RAG-optimized EUSurvey web services KB article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0x010100FE8DAEBAB9BA884591FD7B89E63AD785</vt:lpwstr>
  </property>
</Properties>
</file>