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Narrow" w:hAnsi="Arial Narrow" w:cs="Arial Narrow" w:eastAsia="Arial Narrow"/>
          <w:b/>
          <w:i w:val="0"/>
          <w:color w:val="E33E2B"/>
          <w:sz w:val="18"/>
          <w:spacing w:val="20"/>
        </w:rPr>
        <w:t>STEEL CLOUD SOLUTIONS · EGD-EVE-DI-001</w:t>
      </w:r>
    </w:p>
    <w:p>
      <w:pPr>
        <w:spacing w:before="0" w:after="80"/>
      </w:pPr>
      <w:r>
        <w:rPr>
          <w:rFonts w:ascii="Arial Narrow" w:hAnsi="Arial Narrow" w:cs="Arial Narrow" w:eastAsia="Arial Narrow"/>
          <w:b/>
          <w:i w:val="0"/>
          <w:color w:val="2B2B2B"/>
          <w:sz w:val="54"/>
          <w:spacing w:val="4"/>
        </w:rPr>
        <w:t>EVE as an additive decision-intelligence layer</w:t>
      </w:r>
    </w:p>
    <w:p>
      <w:pPr>
        <w:spacing w:before="40" w:after="160"/>
        <w:pBdr>
          <w:top w:val="nil"/>
          <w:left w:val="nil"/>
          <w:bottom w:val="single" w:sz="19" w:space="0" w:color="e33e2b"/>
          <w:right w:val="nil"/>
        </w:pBdr>
      </w:pPr>
    </w:p>
    <w:p>
      <w:pPr>
        <w:spacing w:before="0" w:after="240"/>
      </w:pPr>
      <w:r>
        <w:rPr>
          <w:rFonts w:ascii="Arial" w:hAnsi="Arial" w:cs="Arial" w:eastAsia="Arial"/>
          <w:b w:val="0"/>
          <w:i w:val="0"/>
          <w:color w:val="6B6B6B"/>
          <w:sz w:val="22"/>
        </w:rPr>
        <w:t>The capability map, the semantic extension, and the two go-to-market doors</w:t>
      </w:r>
    </w:p>
    <w:tbl>
      <w:tblPr>
        <w:tblW w:type="auto" w:w="0"/>
        <w:jc w:val="left"/>
        <w:tblLayout w:type="fixed"/>
        <w:tblLook w:firstColumn="1" w:firstRow="1" w:lastColumn="0" w:lastRow="0" w:noHBand="0" w:noVBand="1" w:val="04A0"/>
      </w:tblPr>
      <w:tblGrid>
        <w:gridCol w:w="4824"/>
        <w:gridCol w:w="4824"/>
      </w:tblGrid>
      <w:tr>
        <w:tc>
          <w:tcPr>
            <w:tcW w:type="dxa" w:w="252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Document</w:t>
            </w:r>
          </w:p>
        </w:tc>
        <w:tc>
          <w:tcPr>
            <w:tcW w:type="dxa" w:w="7128"/>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EgD-EVE-DI-001 · controlled draft</w:t>
            </w:r>
          </w:p>
        </w:tc>
      </w:tr>
      <w:tr>
        <w:tc>
          <w:tcPr>
            <w:tcW w:type="dxa" w:w="252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Prepared for</w:t>
            </w:r>
          </w:p>
        </w:tc>
        <w:tc>
          <w:tcPr>
            <w:tcW w:type="dxa" w:w="7128"/>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Jeff Eden — Steel Cloud Solutions</w:t>
            </w:r>
          </w:p>
        </w:tc>
      </w:tr>
      <w:tr>
        <w:tc>
          <w:tcPr>
            <w:tcW w:type="dxa" w:w="252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Prepared by</w:t>
            </w:r>
          </w:p>
        </w:tc>
        <w:tc>
          <w:tcPr>
            <w:tcW w:type="dxa" w:w="7128"/>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Dany Theriault · EVEglyphDesign</w:t>
            </w:r>
          </w:p>
        </w:tc>
      </w:tr>
      <w:tr>
        <w:tc>
          <w:tcPr>
            <w:tcW w:type="dxa" w:w="252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Subject</w:t>
            </w:r>
          </w:p>
        </w:tc>
        <w:tc>
          <w:tcPr>
            <w:tcW w:type="dxa" w:w="7128"/>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Conformance of EVE to the eight-capability decision-intelligence test</w:t>
            </w:r>
          </w:p>
        </w:tc>
      </w:tr>
      <w:tr>
        <w:tc>
          <w:tcPr>
            <w:tcW w:type="dxa" w:w="252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Key ID</w:t>
            </w:r>
          </w:p>
        </w:tc>
        <w:tc>
          <w:tcPr>
            <w:tcW w:type="dxa" w:w="7128"/>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EgD-KEY-2026-07</w:t>
            </w:r>
          </w:p>
        </w:tc>
      </w:tr>
      <w:tr>
        <w:tc>
          <w:tcPr>
            <w:tcW w:type="dxa" w:w="252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SHA-256 (copy source)</w:t>
            </w:r>
          </w:p>
        </w:tc>
        <w:tc>
          <w:tcPr>
            <w:tcW w:type="dxa" w:w="7128"/>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aff69cba358e7f7136dc76c78ebec5aa1be90bc94b45e9c1f060ad83a1bfe290</w:t>
            </w:r>
          </w:p>
        </w:tc>
      </w:tr>
      <w:tr>
        <w:tc>
          <w:tcPr>
            <w:tcW w:type="dxa" w:w="252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Built</w:t>
            </w:r>
          </w:p>
        </w:tc>
        <w:tc>
          <w:tcPr>
            <w:tcW w:type="dxa" w:w="7128"/>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2026-09-21T01:39:55Z</w:t>
            </w:r>
          </w:p>
        </w:tc>
      </w:tr>
    </w:tbl>
    <w:p>
      <w:pPr>
        <w:spacing w:before="0" w:after="0" w:line="160" w:lineRule="exact"/>
      </w:pPr>
    </w:p>
    <w:p>
      <w:pPr>
        <w:spacing w:before="0" w:after="0" w:line="200" w:lineRule="exact"/>
      </w:pPr>
    </w:p>
    <w:p>
      <w:pPr>
        <w:spacing w:before="0" w:after="120"/>
      </w:pPr>
      <w:r>
        <w:rPr>
          <w:rFonts w:ascii="Arial" w:hAnsi="Arial" w:cs="Arial" w:eastAsia="Arial"/>
          <w:b w:val="0"/>
          <w:i/>
          <w:color w:val="6B6B6B"/>
          <w:sz w:val="17"/>
        </w:rPr>
        <w:t>Briefing note for Jeff Eden, Steel Cloud Solutions. Prompted by his eight-capability test for a legitimate Decision Intelligence layer and its alignment to Gartner’s definition.</w:t>
      </w:r>
    </w:p>
    <w:p>
      <w:pPr>
        <w:spacing w:before="0" w:after="0" w:line="120" w:lineRule="exact"/>
      </w:pPr>
    </w:p>
    <w:p>
      <w:pPr>
        <w:spacing w:before="280" w:after="100"/>
        <w:keepNext/>
        <w:pBdr>
          <w:top w:val="nil"/>
          <w:left w:val="nil"/>
          <w:bottom w:val="single" w:sz="8" w:space="0" w:color="d8d8d8"/>
          <w:right w:val="nil"/>
        </w:pBdr>
      </w:pPr>
      <w:r>
        <w:rPr>
          <w:rFonts w:ascii="Arial Narrow" w:hAnsi="Arial Narrow" w:cs="Arial Narrow" w:eastAsia="Arial Narrow"/>
          <w:b/>
          <w:i w:val="0"/>
          <w:color w:val="1E3A5F"/>
          <w:sz w:val="28"/>
          <w:spacing w:val="4"/>
        </w:rPr>
        <w:t>1. Conformance to the frame you set</w:t>
      </w:r>
    </w:p>
    <w:p>
      <w:pPr>
        <w:spacing w:before="0" w:after="160" w:line="283" w:lineRule="auto"/>
      </w:pPr>
      <w:r>
        <w:rPr>
          <w:rFonts w:ascii="Arial" w:hAnsi="Arial" w:cs="Arial" w:eastAsia="Arial"/>
          <w:b w:val="0"/>
          <w:i w:val="0"/>
          <w:color w:val="2B2B2B"/>
          <w:sz w:val="21"/>
        </w:rPr>
        <w:t xml:space="preserve">Your eight capabilities are not aspirational for EVE. They are the shape of what is already </w:t>
      </w:r>
      <w:r>
        <w:rPr>
          <w:rFonts w:ascii="Arial" w:hAnsi="Arial" w:cs="Arial" w:eastAsia="Arial"/>
          <w:b/>
          <w:i w:val="0"/>
          <w:color w:val="E33E2B"/>
          <w:sz w:val="21"/>
        </w:rPr>
        <w:t>committed, versioned and public</w:t>
      </w:r>
      <w:r>
        <w:rPr>
          <w:rFonts w:ascii="Arial" w:hAnsi="Arial" w:cs="Arial" w:eastAsia="Arial"/>
          <w:b w:val="0"/>
          <w:i w:val="0"/>
          <w:color w:val="2B2B2B"/>
          <w:sz w:val="21"/>
        </w:rPr>
        <w:t xml:space="preserve">. This section is written as a conformance statement against your list, grouped into the three lifecycle movements Gartner uses, with an </w:t>
      </w:r>
      <w:r>
        <w:rPr>
          <w:rFonts w:ascii="Arial" w:hAnsi="Arial" w:cs="Arial" w:eastAsia="Arial"/>
          <w:b/>
          <w:i w:val="0"/>
          <w:color w:val="E33E2B"/>
          <w:sz w:val="21"/>
        </w:rPr>
        <w:t>honest status on each</w:t>
      </w:r>
      <w:r>
        <w:rPr>
          <w:rFonts w:ascii="Arial" w:hAnsi="Arial" w:cs="Arial" w:eastAsia="Arial"/>
          <w:b w:val="0"/>
          <w:i w:val="0"/>
          <w:color w:val="2B2B2B"/>
          <w:sz w:val="21"/>
        </w:rPr>
        <w:t xml:space="preserve"> — because a capability claim that does not survive a reviewer's first question is worth less than an admitted gap.</w:t>
      </w:r>
    </w:p>
    <w:p>
      <w:pPr>
        <w:spacing w:before="0" w:after="140" w:line="276" w:lineRule="auto"/>
        <w:jc w:val="both"/>
      </w:pPr>
      <w:r>
        <w:rPr>
          <w:rFonts w:ascii="Arial" w:hAnsi="Arial" w:cs="Arial" w:eastAsia="Arial"/>
          <w:b w:val="0"/>
          <w:i w:val="0"/>
          <w:color w:val="2B2B2B"/>
          <w:sz w:val="19"/>
        </w:rPr>
        <w:t>Gartner's definition: “a practical discipline that advances decision making by explicitly understanding and engineering how decisions are made and how outcomes are evaluated, managed and improved via feedback” (</w:t>
      </w:r>
      <w:hyperlink r:id="rId11">
        <w:r>
          <w:rPr>
            <w:rFonts w:ascii="Arial" w:hAnsi="Arial" w:cs="Arial" w:eastAsia="Arial"/>
            <w:sz w:val="19"/>
            <w:color w:val="1E3A5F"/>
            <w:u w:val="single"/>
          </w:rPr>
          <w:t xml:space="preserve">Gartner IT Glossary</w:t>
        </w:r>
      </w:hyperlink>
      <w:r>
        <w:rPr>
          <w:rFonts w:ascii="Arial" w:hAnsi="Arial" w:cs="Arial" w:eastAsia="Arial"/>
          <w:b w:val="0"/>
          <w:i w:val="0"/>
          <w:color w:val="2B2B2B"/>
          <w:sz w:val="19"/>
        </w:rPr>
        <w:t>), extended on the 2025 AI Hype Cycle with “by digitizing and modeling decisions as assets, DI bridges the insight-to-action gap” (</w:t>
      </w:r>
      <w:hyperlink r:id="rId12">
        <w:r>
          <w:rPr>
            <w:rFonts w:ascii="Arial" w:hAnsi="Arial" w:cs="Arial" w:eastAsia="Arial"/>
            <w:sz w:val="19"/>
            <w:color w:val="1E3A5F"/>
            <w:u w:val="single"/>
          </w:rPr>
          <w:t xml:space="preserve">David Pidsley, Gartner</w:t>
        </w:r>
      </w:hyperlink>
      <w:r>
        <w:rPr>
          <w:rFonts w:ascii="Arial" w:hAnsi="Arial" w:cs="Arial" w:eastAsia="Arial"/>
          <w:b w:val="0"/>
          <w:i w:val="0"/>
          <w:color w:val="2B2B2B"/>
          <w:sz w:val="19"/>
        </w:rPr>
        <w:t>). The platform definition names four lifecycle capabilities — decision modeling, orchestration, monitoring and governance (</w:t>
      </w:r>
      <w:hyperlink r:id="rId13">
        <w:r>
          <w:rPr>
            <w:rFonts w:ascii="Arial" w:hAnsi="Arial" w:cs="Arial" w:eastAsia="Arial"/>
            <w:sz w:val="19"/>
            <w:color w:val="1E3A5F"/>
            <w:u w:val="single"/>
          </w:rPr>
          <w:t xml:space="preserve">FICO on the Magic Quadrant</w:t>
        </w:r>
      </w:hyperlink>
      <w:r>
        <w:rPr>
          <w:rFonts w:ascii="Arial" w:hAnsi="Arial" w:cs="Arial" w:eastAsia="Arial"/>
          <w:b w:val="0"/>
          <w:i w:val="0"/>
          <w:color w:val="2B2B2B"/>
          <w:sz w:val="19"/>
        </w:rPr>
        <w:t>). Your eight map onto those four without remainder.</w:t>
      </w:r>
    </w:p>
    <w:p>
      <w:pPr>
        <w:spacing w:before="160" w:after="200"/>
        <w:shd w:val="clear" w:color="auto" w:fill="fdfaf4"/>
        <w:pBdr>
          <w:top w:val="nil"/>
          <w:left w:val="single" w:sz="24" w:space="0" w:color="e33e2b"/>
          <w:bottom w:val="nil"/>
          <w:right w:val="nil"/>
        </w:pBdr>
        <w:ind w:left="320" w:right="200"/>
      </w:pPr>
      <w:r>
        <w:rPr>
          <w:rFonts w:ascii="Arial" w:hAnsi="Arial" w:cs="Arial" w:eastAsia="Arial"/>
          <w:b/>
          <w:i w:val="0"/>
          <w:color w:val="1E3A5F"/>
          <w:sz w:val="22"/>
        </w:rPr>
        <w:t>The unit is the decision, not the dashboard. That is the part almost no consulting asset actually holds.</w:t>
      </w:r>
    </w:p>
    <w:tbl>
      <w:tblPr>
        <w:tblW w:type="auto" w:w="0"/>
        <w:jc w:val="left"/>
        <w:tblLayout w:type="fixed"/>
        <w:tblLook w:firstColumn="1" w:firstRow="1" w:lastColumn="0" w:lastRow="0" w:noHBand="0" w:noVBand="1" w:val="04A0"/>
      </w:tblPr>
      <w:tblGrid>
        <w:gridCol w:w="3216"/>
        <w:gridCol w:w="3216"/>
        <w:gridCol w:w="3216"/>
      </w:tblGrid>
      <w:tr>
        <w:trPr>
          <w:tblHeader w:val="true"/>
        </w:trPr>
        <w:tc>
          <w:tcPr>
            <w:tcW w:type="dxa" w:w="1944"/>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Gartner lifecycle</w:t>
            </w:r>
          </w:p>
        </w:tc>
        <w:tc>
          <w:tcPr>
            <w:tcW w:type="dxa" w:w="2664"/>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Your capability</w:t>
            </w:r>
          </w:p>
        </w:tc>
        <w:tc>
          <w:tcPr>
            <w:tcW w:type="dxa" w:w="5040"/>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Status in EVE today</w:t>
            </w:r>
          </w:p>
        </w:tc>
      </w:tr>
      <w:tr>
        <w:tc>
          <w:tcPr>
            <w:tcW w:type="dxa" w:w="194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Decision modeling</w:t>
            </w:r>
          </w:p>
        </w:tc>
        <w:tc>
          <w:tcPr>
            <w:tcW w:type="dxa" w:w="26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1. Decision definition</w:t>
            </w:r>
          </w:p>
        </w:tc>
        <w:tc>
          <w:tcPr>
            <w:tcW w:type="dxa" w:w="504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Met — decisions are named surfaces, not reports</w:t>
            </w:r>
          </w:p>
        </w:tc>
      </w:tr>
      <w:tr>
        <w:tc>
          <w:tcPr>
            <w:tcW w:type="dxa" w:w="194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Decision modeling</w:t>
            </w:r>
          </w:p>
        </w:tc>
        <w:tc>
          <w:tcPr>
            <w:tcW w:type="dxa" w:w="26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2. Decision context</w:t>
            </w:r>
          </w:p>
        </w:tc>
        <w:tc>
          <w:tcPr>
            <w:tcW w:type="dxa" w:w="504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Met, scope-bounded — truck-only warehouse; telemetry absent</w:t>
            </w:r>
          </w:p>
        </w:tc>
      </w:tr>
      <w:tr>
        <w:tc>
          <w:tcPr>
            <w:tcW w:type="dxa" w:w="194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Decision modeling</w:t>
            </w:r>
          </w:p>
        </w:tc>
        <w:tc>
          <w:tcPr>
            <w:tcW w:type="dxa" w:w="26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3. Decision logic</w:t>
            </w:r>
          </w:p>
        </w:tc>
        <w:tc>
          <w:tcPr>
            <w:tcW w:type="dxa" w:w="504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Met for rules and agent reasoning — no optimization or simulation engine</w:t>
            </w:r>
          </w:p>
        </w:tc>
      </w:tr>
      <w:tr>
        <w:tc>
          <w:tcPr>
            <w:tcW w:type="dxa" w:w="194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Decision orchestration</w:t>
            </w:r>
          </w:p>
        </w:tc>
        <w:tc>
          <w:tcPr>
            <w:tcW w:type="dxa" w:w="26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4. Decision authority</w:t>
            </w:r>
          </w:p>
        </w:tc>
        <w:tc>
          <w:tcPr>
            <w:tcW w:type="dxa" w:w="504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Met — human approves; authority is explicit, not implied</w:t>
            </w:r>
          </w:p>
        </w:tc>
      </w:tr>
      <w:tr>
        <w:tc>
          <w:tcPr>
            <w:tcW w:type="dxa" w:w="194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Decision orchestration</w:t>
            </w:r>
          </w:p>
        </w:tc>
        <w:tc>
          <w:tcPr>
            <w:tcW w:type="dxa" w:w="26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5. Action and execution</w:t>
            </w:r>
          </w:p>
        </w:tc>
        <w:tc>
          <w:tcPr>
            <w:tcW w:type="dxa" w:w="504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Partial by design — proposals out, no write path to a system of record</w:t>
            </w:r>
          </w:p>
        </w:tc>
      </w:tr>
      <w:tr>
        <w:tc>
          <w:tcPr>
            <w:tcW w:type="dxa" w:w="194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Decision monitoring</w:t>
            </w:r>
          </w:p>
        </w:tc>
        <w:tc>
          <w:tcPr>
            <w:tcW w:type="dxa" w:w="26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6. Outcome capture</w:t>
            </w:r>
          </w:p>
        </w:tc>
        <w:tc>
          <w:tcPr>
            <w:tcW w:type="dxa" w:w="504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Partial — committed results and tie-outs; per-decision outcome linking is the next build</w:t>
            </w:r>
          </w:p>
        </w:tc>
      </w:tr>
      <w:tr>
        <w:tc>
          <w:tcPr>
            <w:tcW w:type="dxa" w:w="194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Decision monitoring</w:t>
            </w:r>
          </w:p>
        </w:tc>
        <w:tc>
          <w:tcPr>
            <w:tcW w:type="dxa" w:w="26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7. Learning and optimization</w:t>
            </w:r>
          </w:p>
        </w:tc>
        <w:tc>
          <w:tcPr>
            <w:tcW w:type="dxa" w:w="504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Partial — versioned baselines and human tuning; no automated retraining loop</w:t>
            </w:r>
          </w:p>
        </w:tc>
      </w:tr>
      <w:tr>
        <w:tc>
          <w:tcPr>
            <w:tcW w:type="dxa" w:w="194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Decision governance</w:t>
            </w:r>
          </w:p>
        </w:tc>
        <w:tc>
          <w:tcPr>
            <w:tcW w:type="dxa" w:w="26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8. Governance and auditability</w:t>
            </w:r>
          </w:p>
        </w:tc>
        <w:tc>
          <w:tcPr>
            <w:tcW w:type="dxa" w:w="504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Met — the strongest layer; custody, provenance, hashes, defect register</w:t>
            </w:r>
          </w:p>
        </w:tc>
      </w:tr>
    </w:tbl>
    <w:p>
      <w:pPr>
        <w:spacing w:before="0" w:after="0" w:line="160" w:lineRule="exact"/>
      </w:pPr>
    </w:p>
    <w:p>
      <w:pPr>
        <w:keepNext/>
        <w:spacing w:before="200" w:after="60"/>
      </w:pPr>
      <w:r>
        <w:rPr>
          <w:rFonts w:ascii="Arial Narrow" w:hAnsi="Arial Narrow" w:cs="Arial Narrow" w:eastAsia="Arial Narrow"/>
          <w:b/>
          <w:i w:val="0"/>
          <w:color w:val="E33E2B"/>
          <w:sz w:val="21"/>
          <w:spacing w:val="12"/>
        </w:rPr>
        <w:t>DECISION MODELING — CAPABILITIES 1, 2 AND 3</w:t>
      </w:r>
    </w:p>
    <w:p>
      <w:pPr>
        <w:spacing w:before="0" w:after="140" w:line="276" w:lineRule="auto"/>
        <w:jc w:val="both"/>
      </w:pPr>
      <w:r>
        <w:rPr>
          <w:rFonts w:ascii="Arial" w:hAnsi="Arial" w:cs="Arial" w:eastAsia="Arial"/>
          <w:b/>
          <w:i w:val="0"/>
          <w:color w:val="2B2B2B"/>
          <w:sz w:val="19"/>
        </w:rPr>
        <w:t>1. Decision definition.</w:t>
      </w:r>
      <w:r>
        <w:rPr>
          <w:rFonts w:ascii="Arial" w:hAnsi="Arial" w:cs="Arial" w:eastAsia="Arial"/>
          <w:b w:val="0"/>
          <w:i w:val="0"/>
          <w:color w:val="2B2B2B"/>
          <w:sz w:val="19"/>
        </w:rPr>
        <w:t xml:space="preserve"> EVE surfaces are built decision-first. The ATD Owner Console maps the 2026 Performance Measurement guide and the 60 Critical Operating Variables into seven owner tiles with threshold alarms and drill-down worklists. Tenant surfaces lead with three fixed decision tiles — unreturned voicemail, repeat caller, never reached — then capped worklists. The decision is the object on the page; the chart is incidental to it.</w:t>
      </w:r>
    </w:p>
    <w:p>
      <w:pPr>
        <w:spacing w:before="0" w:after="140" w:line="276" w:lineRule="auto"/>
        <w:jc w:val="both"/>
      </w:pPr>
      <w:r>
        <w:rPr>
          <w:rFonts w:ascii="Arial" w:hAnsi="Arial" w:cs="Arial" w:eastAsia="Arial"/>
          <w:b/>
          <w:i w:val="0"/>
          <w:color w:val="2B2B2B"/>
          <w:sz w:val="19"/>
        </w:rPr>
        <w:t>2. Decision context.</w:t>
      </w:r>
      <w:r>
        <w:rPr>
          <w:rFonts w:ascii="Arial" w:hAnsi="Arial" w:cs="Arial" w:eastAsia="Arial"/>
          <w:b w:val="0"/>
          <w:i w:val="0"/>
          <w:color w:val="2B2B2B"/>
          <w:sz w:val="19"/>
        </w:rPr>
        <w:t xml:space="preserve"> Customer Sphere on Azure PostgreSQL holds Hawkins-owned customer, vehicle, service, warranty and interaction memory: PACCAR warranty registrations joined to CDK repair-order history on a VIN spine, coverage rules, and call metadata. Context carries its provenance — vectors retain origin and confidence rather than averaging conflicts away, and identity links stay reversible and human-approved. </w:t>
      </w:r>
      <w:r>
        <w:rPr>
          <w:rFonts w:ascii="Arial" w:hAnsi="Arial" w:cs="Arial" w:eastAsia="Arial"/>
          <w:b w:val="0"/>
          <w:i/>
          <w:color w:val="2B2B2B"/>
          <w:sz w:val="19"/>
        </w:rPr>
        <w:t>Bounded honestly:</w:t>
      </w:r>
      <w:r>
        <w:rPr>
          <w:rFonts w:ascii="Arial" w:hAnsi="Arial" w:cs="Arial" w:eastAsia="Arial"/>
          <w:b w:val="0"/>
          <w:i w:val="0"/>
          <w:color w:val="2B2B2B"/>
          <w:sz w:val="19"/>
        </w:rPr>
        <w:t xml:space="preserve"> the current warehouse is truck-only, powersports contracts are quarantined rather than blended, and no SmartLINQ telemetry exists in the loaded extract set — it must land later as a distinct VIN-linked source.</w:t>
      </w:r>
    </w:p>
    <w:p>
      <w:pPr>
        <w:spacing w:before="0" w:after="140" w:line="276" w:lineRule="auto"/>
        <w:jc w:val="both"/>
      </w:pPr>
      <w:r>
        <w:rPr>
          <w:rFonts w:ascii="Arial" w:hAnsi="Arial" w:cs="Arial" w:eastAsia="Arial"/>
          <w:b/>
          <w:i w:val="0"/>
          <w:color w:val="2B2B2B"/>
          <w:sz w:val="19"/>
        </w:rPr>
        <w:t>3. Decision logic.</w:t>
      </w:r>
      <w:r>
        <w:rPr>
          <w:rFonts w:ascii="Arial" w:hAnsi="Arial" w:cs="Arial" w:eastAsia="Arial"/>
          <w:b w:val="0"/>
          <w:i w:val="0"/>
          <w:color w:val="2B2B2B"/>
          <w:sz w:val="19"/>
        </w:rPr>
        <w:t xml:space="preserve"> The P1–P4 outreach queues combine open repair-order status, live coverage, contactability, and the earlier of calendar or projected-mileage expiry, with mileage rates derived from dated CDK odometer readings and ceilings from PACCAR registrations. That is deterministic, inspectable rule logic plus agent reasoning over documents. </w:t>
      </w:r>
      <w:r>
        <w:rPr>
          <w:rFonts w:ascii="Arial" w:hAnsi="Arial" w:cs="Arial" w:eastAsia="Arial"/>
          <w:b w:val="0"/>
          <w:i/>
          <w:color w:val="2B2B2B"/>
          <w:sz w:val="19"/>
        </w:rPr>
        <w:t>Stated plainly:</w:t>
      </w:r>
      <w:r>
        <w:rPr>
          <w:rFonts w:ascii="Arial" w:hAnsi="Arial" w:cs="Arial" w:eastAsia="Arial"/>
          <w:b w:val="0"/>
          <w:i w:val="0"/>
          <w:color w:val="2B2B2B"/>
          <w:sz w:val="19"/>
        </w:rPr>
        <w:t xml:space="preserve"> EVE does not today run an optimization solver or a simulation engine. Where a reviewer expects those in the Gartner frame, the correct answer is that the logic layer is rules and reasoning, and the architecture admits a solver rather than already containing one.</w:t>
      </w:r>
    </w:p>
    <w:p>
      <w:pPr>
        <w:keepNext/>
        <w:spacing w:before="200" w:after="60"/>
      </w:pPr>
      <w:r>
        <w:rPr>
          <w:rFonts w:ascii="Arial Narrow" w:hAnsi="Arial Narrow" w:cs="Arial Narrow" w:eastAsia="Arial Narrow"/>
          <w:b/>
          <w:i w:val="0"/>
          <w:color w:val="E33E2B"/>
          <w:sz w:val="21"/>
          <w:spacing w:val="12"/>
        </w:rPr>
        <w:t>DECISION ORCHESTRATION — CAPABILITIES 4 AND 5</w:t>
      </w:r>
    </w:p>
    <w:p>
      <w:pPr>
        <w:spacing w:before="0" w:after="140" w:line="276" w:lineRule="auto"/>
        <w:jc w:val="both"/>
      </w:pPr>
      <w:r>
        <w:rPr>
          <w:rFonts w:ascii="Arial" w:hAnsi="Arial" w:cs="Arial" w:eastAsia="Arial"/>
          <w:b/>
          <w:i w:val="0"/>
          <w:color w:val="2B2B2B"/>
          <w:sz w:val="19"/>
        </w:rPr>
        <w:t>4. Decision authority.</w:t>
      </w:r>
      <w:r>
        <w:rPr>
          <w:rFonts w:ascii="Arial" w:hAnsi="Arial" w:cs="Arial" w:eastAsia="Arial"/>
          <w:b w:val="0"/>
          <w:i w:val="0"/>
          <w:color w:val="2B2B2B"/>
          <w:sz w:val="19"/>
        </w:rPr>
        <w:t xml:space="preserve"> Authority is declared per decision, not assumed. AI proposes under protocol; a named person approves a specific version; systems of record stay authoritative. Warranty Bot is a prompt for human review, never an authority, and the manufacturer system remains the decider on coverage. Flagged calls are review filters, not verdicts. Every artifact reachable by an AI surface has a named owner and has already passed independent four-eyes review.</w:t>
      </w:r>
    </w:p>
    <w:p>
      <w:pPr>
        <w:spacing w:before="0" w:after="140" w:line="276" w:lineRule="auto"/>
        <w:jc w:val="both"/>
      </w:pPr>
      <w:r>
        <w:rPr>
          <w:rFonts w:ascii="Arial" w:hAnsi="Arial" w:cs="Arial" w:eastAsia="Arial"/>
          <w:b/>
          <w:i w:val="0"/>
          <w:color w:val="2B2B2B"/>
          <w:sz w:val="19"/>
        </w:rPr>
        <w:t>5. Action and execution.</w:t>
      </w:r>
      <w:r>
        <w:rPr>
          <w:rFonts w:ascii="Arial" w:hAnsi="Arial" w:cs="Arial" w:eastAsia="Arial"/>
          <w:b w:val="0"/>
          <w:i w:val="0"/>
          <w:color w:val="2B2B2B"/>
          <w:sz w:val="19"/>
        </w:rPr>
        <w:t xml:space="preserve"> Decisions leave EVE as worklist rows carrying an owner and a next action, returned into the tools the client already runs. </w:t>
      </w:r>
      <w:r>
        <w:rPr>
          <w:rFonts w:ascii="Arial" w:hAnsi="Arial" w:cs="Arial" w:eastAsia="Arial"/>
          <w:b w:val="0"/>
          <w:i/>
          <w:color w:val="2B2B2B"/>
          <w:sz w:val="19"/>
        </w:rPr>
        <w:t>The limit is deliberate and is the asset:</w:t>
      </w:r>
      <w:r>
        <w:rPr>
          <w:rFonts w:ascii="Arial" w:hAnsi="Arial" w:cs="Arial" w:eastAsia="Arial"/>
          <w:b w:val="0"/>
          <w:i w:val="0"/>
          <w:color w:val="2B2B2B"/>
          <w:sz w:val="19"/>
        </w:rPr>
        <w:t xml:space="preserve"> EVE is DMZ-bound and holds no write authority to a system of record (</w:t>
      </w:r>
      <w:hyperlink r:id="rId14">
        <w:r>
          <w:rPr>
            <w:rFonts w:ascii="Arial" w:hAnsi="Arial" w:cs="Arial" w:eastAsia="Arial"/>
            <w:sz w:val="19"/>
            <w:color w:val="1E3A5F"/>
            <w:u w:val="single"/>
          </w:rPr>
          <w:t xml:space="preserve">EgD-EVE-DMZ-001</w:t>
        </w:r>
      </w:hyperlink>
      <w:r>
        <w:rPr>
          <w:rFonts w:ascii="Arial" w:hAnsi="Arial" w:cs="Arial" w:eastAsia="Arial"/>
          <w:b w:val="0"/>
          <w:i w:val="0"/>
          <w:color w:val="2B2B2B"/>
          <w:sz w:val="19"/>
        </w:rPr>
        <w:t>). Pushing into Salesforce or SAP is therefore a separately authorized capability, not an ambient one. A reviewer who reads that as a gap should be told it is the reason a client data organization will sign: the worst case of an EVE engagement is a discarded copy.</w:t>
      </w:r>
    </w:p>
    <w:p>
      <w:pPr>
        <w:keepNext/>
        <w:spacing w:before="200" w:after="60"/>
      </w:pPr>
      <w:r>
        <w:rPr>
          <w:rFonts w:ascii="Arial Narrow" w:hAnsi="Arial Narrow" w:cs="Arial Narrow" w:eastAsia="Arial Narrow"/>
          <w:b/>
          <w:i w:val="0"/>
          <w:color w:val="E33E2B"/>
          <w:sz w:val="21"/>
          <w:spacing w:val="12"/>
        </w:rPr>
        <w:t>DECISION MONITORING AND GOVERNANCE — CAPABILITIES 6, 7 AND 8</w:t>
      </w:r>
    </w:p>
    <w:p>
      <w:pPr>
        <w:spacing w:before="0" w:after="140" w:line="276" w:lineRule="auto"/>
        <w:jc w:val="both"/>
      </w:pPr>
      <w:r>
        <w:rPr>
          <w:rFonts w:ascii="Arial" w:hAnsi="Arial" w:cs="Arial" w:eastAsia="Arial"/>
          <w:b/>
          <w:i w:val="0"/>
          <w:color w:val="2B2B2B"/>
          <w:sz w:val="19"/>
        </w:rPr>
        <w:t>6. Outcome capture.</w:t>
      </w:r>
      <w:r>
        <w:rPr>
          <w:rFonts w:ascii="Arial" w:hAnsi="Arial" w:cs="Arial" w:eastAsia="Arial"/>
          <w:b w:val="0"/>
          <w:i w:val="0"/>
          <w:color w:val="2B2B2B"/>
          <w:sz w:val="19"/>
        </w:rPr>
        <w:t xml:space="preserve"> Results are committed, not narrated: reconciled tie-outs, return-rate and closure-rate measurement kept separate where identity evidence is incomplete, and the repository as the record rather than the session. </w:t>
      </w:r>
      <w:r>
        <w:rPr>
          <w:rFonts w:ascii="Arial" w:hAnsi="Arial" w:cs="Arial" w:eastAsia="Arial"/>
          <w:b w:val="0"/>
          <w:i/>
          <w:color w:val="2B2B2B"/>
          <w:sz w:val="19"/>
        </w:rPr>
        <w:t>Next build:</w:t>
      </w:r>
      <w:r>
        <w:rPr>
          <w:rFonts w:ascii="Arial" w:hAnsi="Arial" w:cs="Arial" w:eastAsia="Arial"/>
          <w:b w:val="0"/>
          <w:i w:val="0"/>
          <w:color w:val="2B2B2B"/>
          <w:sz w:val="19"/>
        </w:rPr>
        <w:t xml:space="preserve"> closing the loop row-by-row, so each P1–P4 row carries what happened after the call. That is the single highest-value increment for a Gartner-facing claim, because the feedback clause is the part most platforms skip.</w:t>
      </w:r>
    </w:p>
    <w:p>
      <w:pPr>
        <w:spacing w:before="0" w:after="140" w:line="276" w:lineRule="auto"/>
        <w:jc w:val="both"/>
      </w:pPr>
      <w:r>
        <w:rPr>
          <w:rFonts w:ascii="Arial" w:hAnsi="Arial" w:cs="Arial" w:eastAsia="Arial"/>
          <w:b/>
          <w:i w:val="0"/>
          <w:color w:val="2B2B2B"/>
          <w:sz w:val="19"/>
        </w:rPr>
        <w:t>7. Learning and optimization.</w:t>
      </w:r>
      <w:r>
        <w:rPr>
          <w:rFonts w:ascii="Arial" w:hAnsi="Arial" w:cs="Arial" w:eastAsia="Arial"/>
          <w:b w:val="0"/>
          <w:i w:val="0"/>
          <w:color w:val="2B2B2B"/>
          <w:sz w:val="19"/>
        </w:rPr>
        <w:t xml:space="preserve"> Every material change is issued as a numbered version whose row states its own inverse, and each publication creates a new approved baseline the next cycle starts from. Learning today is human and structural rather than automated: thresholds, queue definitions and rules are tuned against observed outcomes, and defects are logged to a standing register instead of being absorbed.</w:t>
      </w:r>
    </w:p>
    <w:p>
      <w:pPr>
        <w:spacing w:before="0" w:after="140" w:line="276" w:lineRule="auto"/>
        <w:jc w:val="both"/>
      </w:pPr>
      <w:r>
        <w:rPr>
          <w:rFonts w:ascii="Arial" w:hAnsi="Arial" w:cs="Arial" w:eastAsia="Arial"/>
          <w:b/>
          <w:i w:val="0"/>
          <w:color w:val="2B2B2B"/>
          <w:sz w:val="19"/>
        </w:rPr>
        <w:t>8. Governance and auditability.</w:t>
      </w:r>
      <w:r>
        <w:rPr>
          <w:rFonts w:ascii="Arial" w:hAnsi="Arial" w:cs="Arial" w:eastAsia="Arial"/>
          <w:b w:val="0"/>
          <w:i w:val="0"/>
          <w:color w:val="2B2B2B"/>
          <w:sz w:val="19"/>
        </w:rPr>
        <w:t xml:space="preserve"> This is the strongest layer and the one worth leading with. Custody, classification, provenance, named human approval, version control, retention and defensibility are expressed as commitments on the </w:t>
      </w:r>
      <w:hyperlink r:id="rId15">
        <w:r>
          <w:rPr>
            <w:rFonts w:ascii="Arial" w:hAnsi="Arial" w:cs="Arial" w:eastAsia="Arial"/>
            <w:sz w:val="19"/>
            <w:color w:val="1E3A5F"/>
            <w:u w:val="single"/>
          </w:rPr>
          <w:t xml:space="preserve">Enterprise Program Alignment surface</w:t>
        </w:r>
      </w:hyperlink>
      <w:r>
        <w:rPr>
          <w:rFonts w:ascii="Arial" w:hAnsi="Arial" w:cs="Arial" w:eastAsia="Arial"/>
          <w:b w:val="0"/>
          <w:i w:val="0"/>
          <w:color w:val="2B2B2B"/>
          <w:sz w:val="19"/>
        </w:rPr>
        <w:t>, with formal controls behind them. Controlled artifacts carry a SHA-256 content hash, a key ID, an ISO-8601 UTC stamp and a verified page extent. Access is gated: real dealer data moves only under an executed dealer authorization naming accounts, data elements, purpose, method, hosting and retention.</w:t>
      </w:r>
    </w:p>
    <w:p>
      <w:pPr>
        <w:spacing w:before="0" w:after="140" w:line="276" w:lineRule="auto"/>
        <w:jc w:val="both"/>
      </w:pPr>
      <w:r>
        <w:rPr>
          <w:rFonts w:ascii="Arial" w:hAnsi="Arial" w:cs="Arial" w:eastAsia="Arial"/>
          <w:b w:val="0"/>
          <w:i w:val="0"/>
          <w:color w:val="2B2B2B"/>
          <w:sz w:val="19"/>
        </w:rPr>
        <w:t xml:space="preserve">None of this requires access to a working session to inspect. The public proof set is the </w:t>
      </w:r>
      <w:hyperlink r:id="rId16">
        <w:r>
          <w:rPr>
            <w:rFonts w:ascii="Arial" w:hAnsi="Arial" w:cs="Arial" w:eastAsia="Arial"/>
            <w:sz w:val="19"/>
            <w:color w:val="1E3A5F"/>
            <w:u w:val="single"/>
          </w:rPr>
          <w:t xml:space="preserve">Decision Intelligence Framework</w:t>
        </w:r>
      </w:hyperlink>
      <w:r>
        <w:rPr>
          <w:rFonts w:ascii="Arial" w:hAnsi="Arial" w:cs="Arial" w:eastAsia="Arial"/>
          <w:b w:val="0"/>
          <w:i w:val="0"/>
          <w:color w:val="2B2B2B"/>
          <w:sz w:val="19"/>
        </w:rPr>
        <w:t xml:space="preserve"> — an eight-page controlled paper against a 96-source evidence register — the </w:t>
      </w:r>
      <w:hyperlink r:id="rId15">
        <w:r>
          <w:rPr>
            <w:rFonts w:ascii="Arial" w:hAnsi="Arial" w:cs="Arial" w:eastAsia="Arial"/>
            <w:sz w:val="19"/>
            <w:color w:val="1E3A5F"/>
            <w:u w:val="single"/>
          </w:rPr>
          <w:t xml:space="preserve">Enterprise Program Alignment surface</w:t>
        </w:r>
      </w:hyperlink>
      <w:r>
        <w:rPr>
          <w:rFonts w:ascii="Arial" w:hAnsi="Arial" w:cs="Arial" w:eastAsia="Arial"/>
          <w:b w:val="0"/>
          <w:i w:val="0"/>
          <w:color w:val="2B2B2B"/>
          <w:sz w:val="19"/>
        </w:rPr>
        <w:t xml:space="preserve">, and the </w:t>
      </w:r>
      <w:hyperlink r:id="rId17">
        <w:r>
          <w:rPr>
            <w:rFonts w:ascii="Arial" w:hAnsi="Arial" w:cs="Arial" w:eastAsia="Arial"/>
            <w:sz w:val="19"/>
            <w:color w:val="1E3A5F"/>
            <w:u w:val="single"/>
          </w:rPr>
          <w:t xml:space="preserve">SCS SAP GTM page</w:t>
        </w:r>
      </w:hyperlink>
      <w:r>
        <w:rPr>
          <w:rFonts w:ascii="Arial" w:hAnsi="Arial" w:cs="Arial" w:eastAsia="Arial"/>
          <w:b w:val="0"/>
          <w:i w:val="0"/>
          <w:color w:val="2B2B2B"/>
          <w:sz w:val="19"/>
        </w:rPr>
        <w:t xml:space="preserve"> with its </w:t>
      </w:r>
      <w:hyperlink r:id="rId14">
        <w:r>
          <w:rPr>
            <w:rFonts w:ascii="Arial" w:hAnsi="Arial" w:cs="Arial" w:eastAsia="Arial"/>
            <w:sz w:val="19"/>
            <w:color w:val="1E3A5F"/>
            <w:u w:val="single"/>
          </w:rPr>
          <w:t xml:space="preserve">DMZ boundary companion</w:t>
        </w:r>
      </w:hyperlink>
      <w:r>
        <w:rPr>
          <w:rFonts w:ascii="Arial" w:hAnsi="Arial" w:cs="Arial" w:eastAsia="Arial"/>
          <w:b w:val="0"/>
          <w:i w:val="0"/>
          <w:color w:val="2B2B2B"/>
          <w:sz w:val="19"/>
        </w:rPr>
        <w:t>.</w:t>
      </w:r>
    </w:p>
    <w:p>
      <w:pPr>
        <w:spacing w:before="280" w:after="100"/>
        <w:keepNext/>
        <w:pBdr>
          <w:top w:val="nil"/>
          <w:left w:val="nil"/>
          <w:bottom w:val="single" w:sz="8" w:space="0" w:color="d8d8d8"/>
          <w:right w:val="nil"/>
        </w:pBdr>
      </w:pPr>
      <w:r>
        <w:rPr>
          <w:rFonts w:ascii="Arial Narrow" w:hAnsi="Arial Narrow" w:cs="Arial Narrow" w:eastAsia="Arial Narrow"/>
          <w:b/>
          <w:i w:val="0"/>
          <w:color w:val="1E3A5F"/>
          <w:sz w:val="28"/>
          <w:spacing w:val="4"/>
        </w:rPr>
        <w:t>2. The semantic extension is the real technology step</w:t>
      </w:r>
    </w:p>
    <w:p>
      <w:pPr>
        <w:spacing w:before="0" w:after="140" w:line="276" w:lineRule="auto"/>
        <w:jc w:val="both"/>
      </w:pPr>
      <w:r>
        <w:rPr>
          <w:rFonts w:ascii="Arial" w:hAnsi="Arial" w:cs="Arial" w:eastAsia="Arial"/>
          <w:b w:val="0"/>
          <w:i w:val="0"/>
          <w:color w:val="2B2B2B"/>
          <w:sz w:val="19"/>
        </w:rPr>
        <w:t xml:space="preserve">This is the part that is not commodity consulting, and it is the reason EVE is different from what other firms carry into the same room. We took </w:t>
      </w:r>
      <w:r>
        <w:rPr>
          <w:rFonts w:ascii="Arial" w:hAnsi="Arial" w:cs="Arial" w:eastAsia="Arial"/>
          <w:b/>
          <w:i w:val="0"/>
          <w:color w:val="E33E2B"/>
          <w:sz w:val="19"/>
        </w:rPr>
        <w:t>SAP's own data governance</w:t>
      </w:r>
      <w:r>
        <w:rPr>
          <w:rFonts w:ascii="Arial" w:hAnsi="Arial" w:cs="Arial" w:eastAsia="Arial"/>
          <w:b w:val="0"/>
          <w:i w:val="0"/>
          <w:color w:val="2B2B2B"/>
          <w:sz w:val="19"/>
        </w:rPr>
        <w:t xml:space="preserve"> — ACDOCA as the universal-journal spine, and SAP's classification, provenance and control semantics — and used it as the governing model for information that lives </w:t>
      </w:r>
      <w:r>
        <w:rPr>
          <w:rFonts w:ascii="Arial" w:hAnsi="Arial" w:cs="Arial" w:eastAsia="Arial"/>
          <w:b w:val="0"/>
          <w:i/>
          <w:color w:val="2B2B2B"/>
          <w:sz w:val="19"/>
        </w:rPr>
        <w:t>outside</w:t>
      </w:r>
      <w:r>
        <w:rPr>
          <w:rFonts w:ascii="Arial" w:hAnsi="Arial" w:cs="Arial" w:eastAsia="Arial"/>
          <w:b w:val="0"/>
          <w:i w:val="0"/>
          <w:color w:val="2B2B2B"/>
          <w:sz w:val="19"/>
        </w:rPr>
        <w:t xml:space="preserve"> SAP and carries no comparable controls.</w:t>
      </w:r>
    </w:p>
    <w:tbl>
      <w:tblPr>
        <w:tblW w:type="auto" w:w="0"/>
        <w:jc w:val="left"/>
        <w:tblLook w:firstColumn="1" w:firstRow="1" w:lastColumn="0" w:lastRow="0" w:noHBand="0" w:noVBand="1" w:val="04A0"/>
      </w:tblPr>
      <w:tblGrid>
        <w:gridCol w:w="9648"/>
      </w:tblGrid>
      <w:tr>
        <w:tc>
          <w:tcPr>
            <w:tcW w:type="dxa" w:w="9648"/>
            <w:shd w:val="clear" w:color="auto" w:fill="fdfaf4"/>
            <w:tcBorders>
              <w:top w:val="single" w:sz="4" w:space="0" w:color="d8d8d8"/>
              <w:left w:val="single" w:sz="24" w:space="0" w:color="e33e2b"/>
              <w:bottom w:val="single" w:sz="4" w:space="0" w:color="d8d8d8"/>
              <w:right w:val="single" w:sz="4" w:space="0" w:color="d8d8d8"/>
            </w:tcBorders>
          </w:tcPr>
          <w:p>
            <w:pPr>
              <w:keepNext/>
              <w:spacing w:before="200" w:after="40"/>
            </w:pPr>
            <w:r>
              <w:rPr>
                <w:rFonts w:ascii="Arial Narrow" w:hAnsi="Arial Narrow" w:cs="Arial Narrow" w:eastAsia="Arial Narrow"/>
                <w:b/>
                <w:i w:val="0"/>
                <w:color w:val="E33E2B"/>
                <w:sz w:val="21"/>
                <w:spacing w:val="12"/>
              </w:rPr>
              <w:t>WHAT IS ACTUALLY BUILT</w:t>
            </w:r>
          </w:p>
          <w:p>
            <w:pPr>
              <w:spacing w:before="0" w:after="40" w:line="276" w:lineRule="auto"/>
              <w:jc w:val="both"/>
            </w:pPr>
            <w:r>
              <w:rPr>
                <w:rFonts w:ascii="Arial" w:hAnsi="Arial" w:cs="Arial" w:eastAsia="Arial"/>
                <w:b/>
                <w:i w:val="0"/>
                <w:color w:val="E33E2B"/>
                <w:sz w:val="19"/>
              </w:rPr>
              <w:t>01</w:t>
            </w:r>
            <w:r>
              <w:rPr>
                <w:rFonts w:ascii="Arial" w:hAnsi="Arial" w:cs="Arial" w:eastAsia="Arial"/>
                <w:b w:val="0"/>
                <w:i w:val="0"/>
                <w:color w:val="2B2B2B"/>
                <w:sz w:val="19"/>
              </w:rPr>
              <w:t xml:space="preserve"> </w:t>
            </w:r>
            <w:r>
              <w:rPr>
                <w:rFonts w:ascii="Arial" w:hAnsi="Arial" w:cs="Arial" w:eastAsia="Arial"/>
                <w:b/>
                <w:i w:val="0"/>
                <w:color w:val="2B2B2B"/>
                <w:sz w:val="19"/>
              </w:rPr>
              <w:t>A customer-owned SAP reference model.</w:t>
            </w:r>
            <w:r>
              <w:rPr>
                <w:rFonts w:ascii="Arial" w:hAnsi="Arial" w:cs="Arial" w:eastAsia="Arial"/>
                <w:b w:val="0"/>
                <w:i w:val="0"/>
                <w:color w:val="2B2B2B"/>
                <w:sz w:val="19"/>
              </w:rPr>
              <w:t xml:space="preserve"> </w:t>
            </w:r>
            <w:hyperlink r:id="rId18">
              <w:r>
                <w:rPr>
                  <w:rFonts w:ascii="Arial" w:hAnsi="Arial" w:cs="Arial" w:eastAsia="Arial"/>
                  <w:sz w:val="19"/>
                  <w:color w:val="1E3A5F"/>
                  <w:u w:val="single"/>
                </w:rPr>
                <w:t xml:space="preserve">eve-datasphere-sovereign</w:t>
              </w:r>
            </w:hyperlink>
            <w:r>
              <w:rPr>
                <w:rFonts w:ascii="Arial" w:hAnsi="Arial" w:cs="Arial" w:eastAsia="Arial"/>
                <w:b w:val="0"/>
                <w:i w:val="0"/>
                <w:color w:val="2B2B2B"/>
                <w:sz w:val="19"/>
              </w:rPr>
              <w:t xml:space="preserve"> holds a field-level wave of 58 tables across PM, FI, CO, MM, SD, PP and QM, with ACDOCA as the organizational spine rather than a fresh analytics vocabulary per source system.</w:t>
            </w:r>
          </w:p>
          <w:p>
            <w:pPr>
              <w:spacing w:before="0" w:after="40" w:line="276" w:lineRule="auto"/>
              <w:jc w:val="both"/>
            </w:pPr>
            <w:r>
              <w:rPr>
                <w:rFonts w:ascii="Arial" w:hAnsi="Arial" w:cs="Arial" w:eastAsia="Arial"/>
                <w:b/>
                <w:i w:val="0"/>
                <w:color w:val="E33E2B"/>
                <w:sz w:val="19"/>
              </w:rPr>
              <w:t>02</w:t>
            </w:r>
            <w:r>
              <w:rPr>
                <w:rFonts w:ascii="Arial" w:hAnsi="Arial" w:cs="Arial" w:eastAsia="Arial"/>
                <w:b w:val="0"/>
                <w:i w:val="0"/>
                <w:color w:val="2B2B2B"/>
                <w:sz w:val="19"/>
              </w:rPr>
              <w:t xml:space="preserve"> </w:t>
            </w:r>
            <w:r>
              <w:rPr>
                <w:rFonts w:ascii="Arial" w:hAnsi="Arial" w:cs="Arial" w:eastAsia="Arial"/>
                <w:b/>
                <w:i w:val="0"/>
                <w:color w:val="2B2B2B"/>
                <w:sz w:val="19"/>
              </w:rPr>
              <w:t>Extended, never replaced.</w:t>
            </w:r>
            <w:r>
              <w:rPr>
                <w:rFonts w:ascii="Arial" w:hAnsi="Arial" w:cs="Arial" w:eastAsia="Arial"/>
                <w:b w:val="0"/>
                <w:i w:val="0"/>
                <w:color w:val="2B2B2B"/>
                <w:sz w:val="19"/>
              </w:rPr>
              <w:t xml:space="preserve"> ACDOCA stays the transaction journal. ACDOCI carries customer interactions and ACDOCX carries ESG and profitability effects beside it, so nothing outside the ledger modifies the ledger.</w:t>
            </w:r>
          </w:p>
          <w:p>
            <w:pPr>
              <w:spacing w:before="0" w:after="40" w:line="276" w:lineRule="auto"/>
              <w:jc w:val="both"/>
            </w:pPr>
            <w:r>
              <w:rPr>
                <w:rFonts w:ascii="Arial" w:hAnsi="Arial" w:cs="Arial" w:eastAsia="Arial"/>
                <w:b/>
                <w:i w:val="0"/>
                <w:color w:val="E33E2B"/>
                <w:sz w:val="19"/>
              </w:rPr>
              <w:t>03</w:t>
            </w:r>
            <w:r>
              <w:rPr>
                <w:rFonts w:ascii="Arial" w:hAnsi="Arial" w:cs="Arial" w:eastAsia="Arial"/>
                <w:b w:val="0"/>
                <w:i w:val="0"/>
                <w:color w:val="2B2B2B"/>
                <w:sz w:val="19"/>
              </w:rPr>
              <w:t xml:space="preserve"> </w:t>
            </w:r>
            <w:r>
              <w:rPr>
                <w:rFonts w:ascii="Arial" w:hAnsi="Arial" w:cs="Arial" w:eastAsia="Arial"/>
                <w:b/>
                <w:i w:val="0"/>
                <w:color w:val="2B2B2B"/>
                <w:sz w:val="19"/>
              </w:rPr>
              <w:t>Source width is preserved.</w:t>
            </w:r>
            <w:r>
              <w:rPr>
                <w:rFonts w:ascii="Arial" w:hAnsi="Arial" w:cs="Arial" w:eastAsia="Arial"/>
                <w:b w:val="0"/>
                <w:i w:val="0"/>
                <w:color w:val="2B2B2B"/>
                <w:sz w:val="19"/>
              </w:rPr>
              <w:t xml:space="preserve"> CDK dealer fields wider than SAP defaults keep their source-native width and enter a declared widening register, rather than being silently truncated to fit the model.</w:t>
            </w:r>
          </w:p>
        </w:tc>
      </w:tr>
    </w:tbl>
    <w:p>
      <w:pPr>
        <w:spacing w:before="0" w:after="0" w:line="160" w:lineRule="exact"/>
      </w:pPr>
    </w:p>
    <w:p>
      <w:pPr>
        <w:spacing w:before="0" w:after="140" w:line="276" w:lineRule="auto"/>
        <w:jc w:val="both"/>
      </w:pPr>
      <w:r>
        <w:rPr>
          <w:rFonts w:ascii="Arial" w:hAnsi="Arial" w:cs="Arial" w:eastAsia="Arial"/>
          <w:b w:val="0"/>
          <w:i w:val="0"/>
          <w:color w:val="2B2B2B"/>
          <w:sz w:val="19"/>
        </w:rPr>
        <w:t xml:space="preserve">It pays in </w:t>
      </w:r>
      <w:r>
        <w:rPr>
          <w:rFonts w:ascii="Arial" w:hAnsi="Arial" w:cs="Arial" w:eastAsia="Arial"/>
          <w:b/>
          <w:i w:val="0"/>
          <w:color w:val="E33E2B"/>
          <w:sz w:val="19"/>
        </w:rPr>
        <w:t>both directions</w:t>
      </w:r>
      <w:r>
        <w:rPr>
          <w:rFonts w:ascii="Arial" w:hAnsi="Arial" w:cs="Arial" w:eastAsia="Arial"/>
          <w:b w:val="0"/>
          <w:i w:val="0"/>
          <w:color w:val="2B2B2B"/>
          <w:sz w:val="19"/>
        </w:rPr>
        <w:t>, and that is the argument to make in front of SAP. The client gets more return on the SAP investment, because the semantic model they already paid for is now doing work across the wider estate instead of stopping at the application boundary. SAP gets reach into unstructured and edge information it could not previously see, without the customer funding an expensive integration programme to get there.</w:t>
      </w:r>
    </w:p>
    <w:p>
      <w:pPr>
        <w:spacing w:before="0" w:after="140" w:line="276" w:lineRule="auto"/>
        <w:jc w:val="both"/>
      </w:pPr>
      <w:r>
        <w:rPr>
          <w:rFonts w:ascii="Arial" w:hAnsi="Arial" w:cs="Arial" w:eastAsia="Arial"/>
          <w:b w:val="0"/>
          <w:i w:val="0"/>
          <w:color w:val="2B2B2B"/>
          <w:sz w:val="19"/>
        </w:rPr>
        <w:t xml:space="preserve">Because the extension attaches </w:t>
      </w:r>
      <w:r>
        <w:rPr>
          <w:rFonts w:ascii="Arial" w:hAnsi="Arial" w:cs="Arial" w:eastAsia="Arial"/>
          <w:b w:val="0"/>
          <w:i/>
          <w:color w:val="2B2B2B"/>
          <w:sz w:val="19"/>
        </w:rPr>
        <w:t>at the edges</w:t>
      </w:r>
      <w:r>
        <w:rPr>
          <w:rFonts w:ascii="Arial" w:hAnsi="Arial" w:cs="Arial" w:eastAsia="Arial"/>
          <w:b w:val="0"/>
          <w:i w:val="0"/>
          <w:color w:val="2B2B2B"/>
          <w:sz w:val="19"/>
        </w:rPr>
        <w:t xml:space="preserve">, each increment is small, business justified, and retrofittable. A client adds the things that make business sense month by month, and when a platform upgrade comes round those additions can be picked up into the scope of the next major project. </w:t>
      </w:r>
      <w:r>
        <w:rPr>
          <w:rFonts w:ascii="Arial" w:hAnsi="Arial" w:cs="Arial" w:eastAsia="Arial"/>
          <w:b/>
          <w:i w:val="0"/>
          <w:color w:val="E33E2B"/>
          <w:sz w:val="19"/>
        </w:rPr>
        <w:t>Time to value is the product</w:t>
      </w:r>
      <w:r>
        <w:rPr>
          <w:rFonts w:ascii="Arial" w:hAnsi="Arial" w:cs="Arial" w:eastAsia="Arial"/>
          <w:b w:val="0"/>
          <w:i w:val="0"/>
          <w:color w:val="2B2B2B"/>
          <w:sz w:val="19"/>
        </w:rPr>
        <w:t>, not a side effect of it.</w:t>
      </w:r>
    </w:p>
    <w:p>
      <w:pPr>
        <w:spacing w:before="160" w:after="200"/>
        <w:shd w:val="clear" w:color="auto" w:fill="fdfaf4"/>
        <w:pBdr>
          <w:top w:val="nil"/>
          <w:left w:val="single" w:sz="24" w:space="0" w:color="e33e2b"/>
          <w:bottom w:val="nil"/>
          <w:right w:val="nil"/>
        </w:pBdr>
        <w:ind w:left="320" w:right="200"/>
      </w:pPr>
      <w:r>
        <w:rPr>
          <w:rFonts w:ascii="Arial" w:hAnsi="Arial" w:cs="Arial" w:eastAsia="Arial"/>
          <w:b/>
          <w:i w:val="0"/>
          <w:color w:val="1E3A5F"/>
          <w:sz w:val="22"/>
        </w:rPr>
        <w:t>EVE lets you apply what is inside SAP to what is outside SAP — and carry the result back in.</w:t>
      </w:r>
    </w:p>
    <w:p>
      <w:pPr>
        <w:spacing w:before="280" w:after="100"/>
        <w:keepNext/>
        <w:pBdr>
          <w:top w:val="nil"/>
          <w:left w:val="nil"/>
          <w:bottom w:val="single" w:sz="8" w:space="0" w:color="d8d8d8"/>
          <w:right w:val="nil"/>
        </w:pBdr>
      </w:pPr>
      <w:r>
        <w:rPr>
          <w:rFonts w:ascii="Arial Narrow" w:hAnsi="Arial Narrow" w:cs="Arial Narrow" w:eastAsia="Arial Narrow"/>
          <w:b/>
          <w:i w:val="0"/>
          <w:color w:val="1E3A5F"/>
          <w:sz w:val="28"/>
          <w:spacing w:val="4"/>
        </w:rPr>
        <w:t>3. Go-to-market: two doors, and you own the asset</w:t>
      </w:r>
    </w:p>
    <w:p>
      <w:pPr>
        <w:keepNext/>
        <w:spacing w:before="200" w:after="60"/>
      </w:pPr>
      <w:r>
        <w:rPr>
          <w:rFonts w:ascii="Arial Narrow" w:hAnsi="Arial Narrow" w:cs="Arial Narrow" w:eastAsia="Arial Narrow"/>
          <w:b/>
          <w:i w:val="0"/>
          <w:color w:val="E33E2B"/>
          <w:sz w:val="21"/>
          <w:spacing w:val="12"/>
        </w:rPr>
        <w:t>THE PUBLICATION DOOR — LILIAN</w:t>
      </w:r>
    </w:p>
    <w:p>
      <w:pPr>
        <w:spacing w:before="0" w:after="140" w:line="276" w:lineRule="auto"/>
        <w:jc w:val="both"/>
      </w:pPr>
      <w:r>
        <w:rPr>
          <w:rFonts w:ascii="Arial" w:hAnsi="Arial" w:cs="Arial" w:eastAsia="Arial"/>
          <w:b w:val="0"/>
          <w:i w:val="0"/>
          <w:color w:val="2B2B2B"/>
          <w:sz w:val="19"/>
        </w:rPr>
        <w:t xml:space="preserve">Lilian Corvington is in peer review on her decision-intelligence-in-PMO paper, anchored at Project Management Journal with MIT Sloan Management Review as the executive parallel and PMI or ACMP as speaking channels. </w:t>
      </w:r>
      <w:r>
        <w:rPr>
          <w:rFonts w:ascii="Arial" w:hAnsi="Arial" w:cs="Arial" w:eastAsia="Arial"/>
          <w:b/>
          <w:i w:val="0"/>
          <w:color w:val="2B2B2B"/>
          <w:sz w:val="19"/>
        </w:rPr>
        <w:t>EVE is referenced there as the standard.</w:t>
      </w:r>
      <w:r>
        <w:rPr>
          <w:rFonts w:ascii="Arial" w:hAnsi="Arial" w:cs="Arial" w:eastAsia="Arial"/>
          <w:b w:val="0"/>
          <w:i w:val="0"/>
          <w:color w:val="2B2B2B"/>
          <w:sz w:val="19"/>
        </w:rPr>
        <w:t xml:space="preserve"> Emerson Rush is her own review vehicle; the IT work behind it is SCS. She holds the credentials for Gartner publication, and she will pitch alongside us on any qualified lead provided the materials are prepared and she is prepped ahead of the room. The SpotlightAR relationship is the amplifier on top of a cited artifact — analyst relations work considerably better pointing at published peer-reviewed work carrying a named senior author than at a deck.</w:t>
      </w:r>
    </w:p>
    <w:p>
      <w:pPr>
        <w:keepNext/>
        <w:spacing w:before="200" w:after="60"/>
      </w:pPr>
      <w:r>
        <w:rPr>
          <w:rFonts w:ascii="Arial Narrow" w:hAnsi="Arial Narrow" w:cs="Arial Narrow" w:eastAsia="Arial Narrow"/>
          <w:b/>
          <w:i w:val="0"/>
          <w:color w:val="E33E2B"/>
          <w:sz w:val="21"/>
          <w:spacing w:val="12"/>
        </w:rPr>
        <w:t>THE EDGE DOOR — THE DEALER WEDGE</w:t>
      </w:r>
    </w:p>
    <w:p>
      <w:pPr>
        <w:spacing w:before="0" w:after="140" w:line="276" w:lineRule="auto"/>
        <w:jc w:val="both"/>
      </w:pPr>
      <w:r>
        <w:rPr>
          <w:rFonts w:ascii="Arial" w:hAnsi="Arial" w:cs="Arial" w:eastAsia="Arial"/>
          <w:b w:val="0"/>
          <w:i w:val="0"/>
          <w:color w:val="2B2B2B"/>
          <w:sz w:val="19"/>
        </w:rPr>
        <w:t>Every vehicle dealer network of scale runs its logistics rules out of a heavily invested, heavily customized SAP supply chain, and that is where the rules come from. Above roughly twenty rooftops those groups are Salesforce's primary targets. Below that line sits a large population running old dealer management systems — CDK, and three or four peers — which are nothing like SAP, are expensive, and struggle to meet even the manufacturers' warranty and service extraction requirements. There is no large US service delivery organization specialized in that space.</w:t>
      </w:r>
    </w:p>
    <w:p>
      <w:pPr>
        <w:spacing w:before="0" w:after="140" w:line="276" w:lineRule="auto"/>
        <w:jc w:val="both"/>
      </w:pPr>
      <w:r>
        <w:rPr>
          <w:rFonts w:ascii="Arial" w:hAnsi="Arial" w:cs="Arial" w:eastAsia="Arial"/>
          <w:b w:val="0"/>
          <w:i w:val="0"/>
          <w:color w:val="2B2B2B"/>
          <w:sz w:val="19"/>
        </w:rPr>
        <w:t xml:space="preserve">That imbalance — a multi-billion-dollar SAP supply chain on one side and a thin dealer management system on the other — is exactly where AI leverage lands first, and it is where EVE sits natively as a sidecar rather than as a replacement. Peterbilt Atlantic is the live proof: a truck-only warehouse reconciling PACCAR warranty registrations against CDK repair-order history on a VIN8 spine, </w:t>
      </w:r>
      <w:r>
        <w:rPr>
          <w:rFonts w:ascii="Arial" w:hAnsi="Arial" w:cs="Arial" w:eastAsia="Arial"/>
          <w:b/>
          <w:i w:val="0"/>
          <w:color w:val="E33E2B"/>
          <w:sz w:val="19"/>
        </w:rPr>
        <w:t>2,991 units compared</w:t>
      </w:r>
      <w:r>
        <w:rPr>
          <w:rFonts w:ascii="Arial" w:hAnsi="Arial" w:cs="Arial" w:eastAsia="Arial"/>
          <w:b w:val="0"/>
          <w:i w:val="0"/>
          <w:color w:val="2B2B2B"/>
          <w:sz w:val="19"/>
        </w:rPr>
        <w:t>, exposing P1–P4 customer-outreach queues with an owner and a next action on every row.</w:t>
      </w:r>
    </w:p>
    <w:p>
      <w:pPr>
        <w:keepNext/>
        <w:spacing w:before="200" w:after="60"/>
      </w:pPr>
      <w:r>
        <w:rPr>
          <w:rFonts w:ascii="Arial Narrow" w:hAnsi="Arial Narrow" w:cs="Arial Narrow" w:eastAsia="Arial Narrow"/>
          <w:b/>
          <w:i w:val="0"/>
          <w:color w:val="E33E2B"/>
          <w:sz w:val="21"/>
          <w:spacing w:val="12"/>
        </w:rPr>
        <w:t>WHAT YOU ARE SITTING ON</w:t>
      </w:r>
    </w:p>
    <w:p>
      <w:pPr>
        <w:spacing w:before="0" w:after="140" w:line="276" w:lineRule="auto"/>
        <w:jc w:val="both"/>
      </w:pPr>
      <w:r>
        <w:rPr>
          <w:rFonts w:ascii="Arial" w:hAnsi="Arial" w:cs="Arial" w:eastAsia="Arial"/>
          <w:b w:val="0"/>
          <w:i w:val="0"/>
          <w:color w:val="2B2B2B"/>
          <w:sz w:val="19"/>
        </w:rPr>
        <w:t>You own EVE. You built it with me on spec and all of the technology is ours. The method is portable, the patterns are identical across SAP-core and edge work, the proof is public and repository-backed, and the commercial structure stays additive and arm's length — no reseller paper, no SI displacement, no write path into anyone's ledger.</w:t>
      </w:r>
    </w:p>
    <w:p>
      <w:pPr>
        <w:spacing w:before="0" w:after="100" w:line="269" w:lineRule="auto"/>
        <w:ind w:left="360" w:hanging="220"/>
      </w:pPr>
      <w:r>
        <w:rPr>
          <w:rFonts w:ascii="Arial" w:hAnsi="Arial"/>
          <w:sz w:val="19"/>
        </w:rPr>
        <w:t xml:space="preserve">— </w:t>
      </w:r>
      <w:r>
        <w:rPr>
          <w:rFonts w:ascii="Arial" w:hAnsi="Arial" w:cs="Arial" w:eastAsia="Arial"/>
          <w:b/>
          <w:i w:val="0"/>
          <w:color w:val="2B2B2B"/>
          <w:sz w:val="19"/>
        </w:rPr>
        <w:t>A cited standard</w:t>
      </w:r>
      <w:r>
        <w:rPr>
          <w:rFonts w:ascii="Arial" w:hAnsi="Arial" w:cs="Arial" w:eastAsia="Arial"/>
          <w:b w:val="0"/>
          <w:i w:val="0"/>
          <w:color w:val="2B2B2B"/>
          <w:sz w:val="19"/>
        </w:rPr>
        <w:t xml:space="preserve"> rather than a marketing claim, with a 96-source evidence register behind it.</w:t>
      </w:r>
    </w:p>
    <w:p>
      <w:pPr>
        <w:spacing w:before="0" w:after="100" w:line="269" w:lineRule="auto"/>
        <w:ind w:left="360" w:hanging="220"/>
      </w:pPr>
      <w:r>
        <w:rPr>
          <w:rFonts w:ascii="Arial" w:hAnsi="Arial"/>
          <w:sz w:val="19"/>
        </w:rPr>
        <w:t xml:space="preserve">— </w:t>
      </w:r>
      <w:r>
        <w:rPr>
          <w:rFonts w:ascii="Arial" w:hAnsi="Arial" w:cs="Arial" w:eastAsia="Arial"/>
          <w:b/>
          <w:i w:val="0"/>
          <w:color w:val="2B2B2B"/>
          <w:sz w:val="19"/>
        </w:rPr>
        <w:t>A named senior author</w:t>
      </w:r>
      <w:r>
        <w:rPr>
          <w:rFonts w:ascii="Arial" w:hAnsi="Arial" w:cs="Arial" w:eastAsia="Arial"/>
          <w:b w:val="0"/>
          <w:i w:val="0"/>
          <w:color w:val="2B2B2B"/>
          <w:sz w:val="19"/>
        </w:rPr>
        <w:t xml:space="preserve"> carrying it into peer review and executive rooms.</w:t>
      </w:r>
    </w:p>
    <w:p>
      <w:pPr>
        <w:spacing w:before="0" w:after="100" w:line="269" w:lineRule="auto"/>
        <w:ind w:left="360" w:hanging="220"/>
      </w:pPr>
      <w:r>
        <w:rPr>
          <w:rFonts w:ascii="Arial" w:hAnsi="Arial"/>
          <w:sz w:val="19"/>
        </w:rPr>
        <w:t xml:space="preserve">— </w:t>
      </w:r>
      <w:r>
        <w:rPr>
          <w:rFonts w:ascii="Arial" w:hAnsi="Arial" w:cs="Arial" w:eastAsia="Arial"/>
          <w:b/>
          <w:i w:val="0"/>
          <w:color w:val="2B2B2B"/>
          <w:sz w:val="19"/>
        </w:rPr>
        <w:t>A repeatable additive layer</w:t>
      </w:r>
      <w:r>
        <w:rPr>
          <w:rFonts w:ascii="Arial" w:hAnsi="Arial" w:cs="Arial" w:eastAsia="Arial"/>
          <w:b w:val="0"/>
          <w:i w:val="0"/>
          <w:color w:val="2B2B2B"/>
          <w:sz w:val="19"/>
        </w:rPr>
        <w:t xml:space="preserve"> that applies the same pattern to the SAP core and to the systems on its edge.</w:t>
      </w:r>
    </w:p>
    <w:p>
      <w:pPr>
        <w:spacing w:before="0" w:after="100" w:line="269" w:lineRule="auto"/>
        <w:ind w:left="360" w:hanging="220"/>
      </w:pPr>
      <w:r>
        <w:rPr>
          <w:rFonts w:ascii="Arial" w:hAnsi="Arial"/>
          <w:sz w:val="19"/>
        </w:rPr>
        <w:t xml:space="preserve">— </w:t>
      </w:r>
      <w:r>
        <w:rPr>
          <w:rFonts w:ascii="Arial" w:hAnsi="Arial" w:cs="Arial" w:eastAsia="Arial"/>
          <w:b/>
          <w:i w:val="0"/>
          <w:color w:val="2B2B2B"/>
          <w:sz w:val="19"/>
        </w:rPr>
        <w:t>A channel position beside SAP and Salesforce</w:t>
      </w:r>
      <w:r>
        <w:rPr>
          <w:rFonts w:ascii="Arial" w:hAnsi="Arial" w:cs="Arial" w:eastAsia="Arial"/>
          <w:b w:val="0"/>
          <w:i w:val="0"/>
          <w:color w:val="2B2B2B"/>
          <w:sz w:val="19"/>
        </w:rPr>
        <w:t xml:space="preserve"> rather than against them, in the segment neither one serves well.</w:t>
      </w:r>
    </w:p>
    <w:p>
      <w:pPr>
        <w:spacing w:before="0" w:after="140" w:line="276" w:lineRule="auto"/>
        <w:jc w:val="both"/>
      </w:pPr>
      <w:r>
        <w:rPr>
          <w:rFonts w:ascii="Arial" w:hAnsi="Arial" w:cs="Arial" w:eastAsia="Arial"/>
          <w:b w:val="0"/>
          <w:i w:val="0"/>
          <w:color w:val="2B2B2B"/>
          <w:sz w:val="19"/>
        </w:rPr>
        <w:t>That combination is enterprise value on the SCS balance sheet, not simply a delivery capability. It is the difference between selling hours and holding an asset.</w:t>
      </w:r>
    </w:p>
    <w:p>
      <w:pPr>
        <w:spacing w:before="280" w:after="100"/>
        <w:keepNext/>
        <w:pBdr>
          <w:top w:val="nil"/>
          <w:left w:val="nil"/>
          <w:bottom w:val="single" w:sz="8" w:space="0" w:color="d8d8d8"/>
          <w:right w:val="nil"/>
        </w:pBdr>
      </w:pPr>
      <w:r>
        <w:rPr>
          <w:rFonts w:ascii="Arial Narrow" w:hAnsi="Arial Narrow" w:cs="Arial Narrow" w:eastAsia="Arial Narrow"/>
          <w:b/>
          <w:i w:val="0"/>
          <w:color w:val="1E3A5F"/>
          <w:sz w:val="28"/>
          <w:spacing w:val="4"/>
        </w:rPr>
        <w:t>What this note does not claim</w:t>
      </w:r>
    </w:p>
    <w:p>
      <w:pPr>
        <w:spacing w:before="0" w:after="100" w:line="269" w:lineRule="auto"/>
        <w:ind w:left="360" w:hanging="220"/>
      </w:pPr>
      <w:r>
        <w:rPr>
          <w:rFonts w:ascii="Arial" w:hAnsi="Arial"/>
          <w:sz w:val="19"/>
        </w:rPr>
        <w:t xml:space="preserve">— </w:t>
      </w:r>
      <w:r>
        <w:rPr>
          <w:rFonts w:ascii="Arial" w:hAnsi="Arial" w:cs="Arial" w:eastAsia="Arial"/>
          <w:b/>
          <w:i w:val="0"/>
          <w:color w:val="2B2B2B"/>
          <w:sz w:val="19"/>
        </w:rPr>
        <w:t>Gartner coverage is not a commitment.</w:t>
      </w:r>
      <w:r>
        <w:rPr>
          <w:rFonts w:ascii="Arial" w:hAnsi="Arial" w:cs="Arial" w:eastAsia="Arial"/>
          <w:b w:val="0"/>
          <w:i w:val="0"/>
          <w:color w:val="2B2B2B"/>
          <w:sz w:val="19"/>
        </w:rPr>
        <w:t xml:space="preserve"> Analyst-relations access through SpotlightAR is a route to consideration, not an assured mention or placement.</w:t>
      </w:r>
    </w:p>
    <w:p>
      <w:pPr>
        <w:spacing w:before="0" w:after="100" w:line="269" w:lineRule="auto"/>
        <w:ind w:left="360" w:hanging="220"/>
      </w:pPr>
      <w:r>
        <w:rPr>
          <w:rFonts w:ascii="Arial" w:hAnsi="Arial"/>
          <w:sz w:val="19"/>
        </w:rPr>
        <w:t xml:space="preserve">— </w:t>
      </w:r>
      <w:r>
        <w:rPr>
          <w:rFonts w:ascii="Arial" w:hAnsi="Arial" w:cs="Arial" w:eastAsia="Arial"/>
          <w:b/>
          <w:i w:val="0"/>
          <w:color w:val="2B2B2B"/>
          <w:sz w:val="19"/>
        </w:rPr>
        <w:t>Peer review is in progress.</w:t>
      </w:r>
      <w:r>
        <w:rPr>
          <w:rFonts w:ascii="Arial" w:hAnsi="Arial" w:cs="Arial" w:eastAsia="Arial"/>
          <w:b w:val="0"/>
          <w:i w:val="0"/>
          <w:color w:val="2B2B2B"/>
          <w:sz w:val="19"/>
        </w:rPr>
        <w:t xml:space="preserve"> Lilian's paper is under review; the reference to EVE as a standard becomes citable when the paper is accepted, not before.</w:t>
      </w:r>
    </w:p>
    <w:p>
      <w:pPr>
        <w:spacing w:before="0" w:after="100" w:line="269" w:lineRule="auto"/>
        <w:ind w:left="360" w:hanging="220"/>
      </w:pPr>
      <w:r>
        <w:rPr>
          <w:rFonts w:ascii="Arial" w:hAnsi="Arial"/>
          <w:sz w:val="19"/>
        </w:rPr>
        <w:t xml:space="preserve">— </w:t>
      </w:r>
      <w:r>
        <w:rPr>
          <w:rFonts w:ascii="Arial" w:hAnsi="Arial" w:cs="Arial" w:eastAsia="Arial"/>
          <w:b/>
          <w:i w:val="0"/>
          <w:color w:val="2B2B2B"/>
          <w:sz w:val="19"/>
        </w:rPr>
        <w:t>The Datasphere model is a reusable foundation, not a shipped product.</w:t>
      </w:r>
      <w:r>
        <w:rPr>
          <w:rFonts w:ascii="Arial" w:hAnsi="Arial" w:cs="Arial" w:eastAsia="Arial"/>
          <w:b w:val="0"/>
          <w:i w:val="0"/>
          <w:color w:val="2B2B2B"/>
          <w:sz w:val="19"/>
        </w:rPr>
        <w:t xml:space="preserve"> Commercialization follows a narrow governed proof with a named owner, access boundaries, success criteria and a review point.</w:t>
      </w:r>
    </w:p>
    <w:p>
      <w:pPr>
        <w:spacing w:before="0" w:after="100" w:line="269" w:lineRule="auto"/>
        <w:ind w:left="360" w:hanging="220"/>
      </w:pPr>
      <w:r>
        <w:rPr>
          <w:rFonts w:ascii="Arial" w:hAnsi="Arial"/>
          <w:sz w:val="19"/>
        </w:rPr>
        <w:t xml:space="preserve">— </w:t>
      </w:r>
      <w:r>
        <w:rPr>
          <w:rFonts w:ascii="Arial" w:hAnsi="Arial" w:cs="Arial" w:eastAsia="Arial"/>
          <w:b/>
          <w:i w:val="0"/>
          <w:color w:val="2B2B2B"/>
          <w:sz w:val="19"/>
        </w:rPr>
        <w:t>Dealer-side access remains gated.</w:t>
      </w:r>
      <w:r>
        <w:rPr>
          <w:rFonts w:ascii="Arial" w:hAnsi="Arial" w:cs="Arial" w:eastAsia="Arial"/>
          <w:b w:val="0"/>
          <w:i w:val="0"/>
          <w:color w:val="2B2B2B"/>
          <w:sz w:val="19"/>
        </w:rPr>
        <w:t xml:space="preserve"> Real dealer data moves only on an executed dealer authorization naming accounts, data elements, purpose, method, hosting and retention.</w:t>
      </w:r>
    </w:p>
    <w:p>
      <w:pPr>
        <w:spacing w:before="0" w:after="100" w:line="269" w:lineRule="auto"/>
        <w:ind w:left="360" w:hanging="220"/>
      </w:pPr>
      <w:r>
        <w:rPr>
          <w:rFonts w:ascii="Arial" w:hAnsi="Arial"/>
          <w:sz w:val="19"/>
        </w:rPr>
        <w:t xml:space="preserve">— </w:t>
      </w:r>
      <w:r>
        <w:rPr>
          <w:rFonts w:ascii="Arial" w:hAnsi="Arial" w:cs="Arial" w:eastAsia="Arial"/>
          <w:b/>
          <w:i w:val="0"/>
          <w:color w:val="2B2B2B"/>
          <w:sz w:val="19"/>
        </w:rPr>
        <w:t>Segment characterizations are advisory judgment.</w:t>
      </w:r>
      <w:r>
        <w:rPr>
          <w:rFonts w:ascii="Arial" w:hAnsi="Arial" w:cs="Arial" w:eastAsia="Arial"/>
          <w:b w:val="0"/>
          <w:i w:val="0"/>
          <w:color w:val="2B2B2B"/>
          <w:sz w:val="19"/>
        </w:rPr>
        <w:t xml:space="preserve"> The dealer-market and channel reasoning in section 3 is positioning analysis, not verified market research.</w:t>
      </w:r>
    </w:p>
    <w:p>
      <w:pPr>
        <w:spacing w:before="280" w:after="100"/>
        <w:keepNext/>
        <w:pBdr>
          <w:top w:val="nil"/>
          <w:left w:val="nil"/>
          <w:bottom w:val="single" w:sz="8" w:space="0" w:color="d8d8d8"/>
          <w:right w:val="nil"/>
        </w:pBdr>
      </w:pPr>
      <w:r>
        <w:rPr>
          <w:rFonts w:ascii="Arial Narrow" w:hAnsi="Arial Narrow" w:cs="Arial Narrow" w:eastAsia="Arial Narrow"/>
          <w:b/>
          <w:i w:val="0"/>
          <w:color w:val="1E3A5F"/>
          <w:sz w:val="28"/>
          <w:spacing w:val="4"/>
        </w:rPr>
        <w:t>Sources and provenance</w:t>
      </w:r>
    </w:p>
    <w:p>
      <w:pPr>
        <w:spacing w:before="0" w:after="100" w:line="269" w:lineRule="auto"/>
        <w:ind w:left="360" w:hanging="220"/>
      </w:pPr>
      <w:r>
        <w:rPr>
          <w:rFonts w:ascii="Arial" w:hAnsi="Arial"/>
          <w:sz w:val="19"/>
        </w:rPr>
        <w:t xml:space="preserve">— </w:t>
      </w:r>
      <w:hyperlink r:id="rId11">
        <w:r>
          <w:rPr>
            <w:rFonts w:ascii="Arial" w:hAnsi="Arial" w:cs="Arial" w:eastAsia="Arial"/>
            <w:sz w:val="19"/>
            <w:color w:val="1E3A5F"/>
            <w:u w:val="single"/>
          </w:rPr>
          <w:t xml:space="preserve">Gartner IT Glossary — decision intelligence</w:t>
        </w:r>
      </w:hyperlink>
    </w:p>
    <w:p>
      <w:pPr>
        <w:spacing w:before="0" w:after="100" w:line="269" w:lineRule="auto"/>
        <w:ind w:left="360" w:hanging="220"/>
      </w:pPr>
      <w:r>
        <w:rPr>
          <w:rFonts w:ascii="Arial" w:hAnsi="Arial"/>
          <w:sz w:val="19"/>
        </w:rPr>
        <w:t xml:space="preserve">— </w:t>
      </w:r>
      <w:hyperlink r:id="rId12">
        <w:r>
          <w:rPr>
            <w:rFonts w:ascii="Arial" w:hAnsi="Arial" w:cs="Arial" w:eastAsia="Arial"/>
            <w:sz w:val="19"/>
            <w:color w:val="1E3A5F"/>
            <w:u w:val="single"/>
          </w:rPr>
          <w:t xml:space="preserve">David Pidsley (Gartner) — extended DI definition, Hype Cycle for AI 2025</w:t>
        </w:r>
      </w:hyperlink>
    </w:p>
    <w:p>
      <w:pPr>
        <w:spacing w:before="0" w:after="100" w:line="269" w:lineRule="auto"/>
        <w:ind w:left="360" w:hanging="220"/>
      </w:pPr>
      <w:r>
        <w:rPr>
          <w:rFonts w:ascii="Arial" w:hAnsi="Arial"/>
          <w:sz w:val="19"/>
        </w:rPr>
        <w:t xml:space="preserve">— </w:t>
      </w:r>
      <w:hyperlink r:id="rId13">
        <w:r>
          <w:rPr>
            <w:rFonts w:ascii="Arial" w:hAnsi="Arial" w:cs="Arial" w:eastAsia="Arial"/>
            <w:sz w:val="19"/>
            <w:color w:val="1E3A5F"/>
            <w:u w:val="single"/>
          </w:rPr>
          <w:t xml:space="preserve">FICO — Gartner definitions of DI and decision intelligence platforms</w:t>
        </w:r>
      </w:hyperlink>
    </w:p>
    <w:p>
      <w:pPr>
        <w:spacing w:before="0" w:after="100" w:line="269" w:lineRule="auto"/>
        <w:ind w:left="360" w:hanging="220"/>
      </w:pPr>
      <w:r>
        <w:rPr>
          <w:rFonts w:ascii="Arial" w:hAnsi="Arial"/>
          <w:sz w:val="19"/>
        </w:rPr>
        <w:t xml:space="preserve">— </w:t>
      </w:r>
      <w:hyperlink r:id="rId16">
        <w:r>
          <w:rPr>
            <w:rFonts w:ascii="Arial" w:hAnsi="Arial" w:cs="Arial" w:eastAsia="Arial"/>
            <w:sz w:val="19"/>
            <w:color w:val="1E3A5F"/>
            <w:u w:val="single"/>
          </w:rPr>
          <w:t xml:space="preserve">Decision Intelligence Framework — controlled paper and 96-source register</w:t>
        </w:r>
      </w:hyperlink>
    </w:p>
    <w:p>
      <w:pPr>
        <w:spacing w:before="0" w:after="100" w:line="269" w:lineRule="auto"/>
        <w:ind w:left="360" w:hanging="220"/>
      </w:pPr>
      <w:r>
        <w:rPr>
          <w:rFonts w:ascii="Arial" w:hAnsi="Arial"/>
          <w:sz w:val="19"/>
        </w:rPr>
        <w:t xml:space="preserve">— </w:t>
      </w:r>
      <w:hyperlink r:id="rId18">
        <w:r>
          <w:rPr>
            <w:rFonts w:ascii="Arial" w:hAnsi="Arial" w:cs="Arial" w:eastAsia="Arial"/>
            <w:sz w:val="19"/>
            <w:color w:val="1E3A5F"/>
            <w:u w:val="single"/>
          </w:rPr>
          <w:t xml:space="preserve">EVE Datasphere Sovereign — customer-owned SAP reference model</w:t>
        </w:r>
      </w:hyperlink>
    </w:p>
    <w:p>
      <w:pPr>
        <w:spacing w:before="0" w:after="100" w:line="269" w:lineRule="auto"/>
        <w:ind w:left="360" w:hanging="220"/>
      </w:pPr>
      <w:r>
        <w:rPr>
          <w:rFonts w:ascii="Arial" w:hAnsi="Arial"/>
          <w:sz w:val="19"/>
        </w:rPr>
        <w:t xml:space="preserve">— </w:t>
      </w:r>
      <w:hyperlink r:id="rId15">
        <w:r>
          <w:rPr>
            <w:rFonts w:ascii="Arial" w:hAnsi="Arial" w:cs="Arial" w:eastAsia="Arial"/>
            <w:sz w:val="19"/>
            <w:color w:val="1E3A5F"/>
            <w:u w:val="single"/>
          </w:rPr>
          <w:t xml:space="preserve">Enterprise Program Alignment — public service surface</w:t>
        </w:r>
      </w:hyperlink>
    </w:p>
    <w:p>
      <w:pPr>
        <w:spacing w:before="0" w:after="100" w:line="269" w:lineRule="auto"/>
        <w:ind w:left="360" w:hanging="220"/>
      </w:pPr>
      <w:r>
        <w:rPr>
          <w:rFonts w:ascii="Arial" w:hAnsi="Arial"/>
          <w:sz w:val="19"/>
        </w:rPr>
        <w:t xml:space="preserve">— </w:t>
      </w:r>
      <w:hyperlink r:id="rId19">
        <w:r>
          <w:rPr>
            <w:rFonts w:ascii="Arial" w:hAnsi="Arial" w:cs="Arial" w:eastAsia="Arial"/>
            <w:sz w:val="19"/>
            <w:color w:val="1E3A5F"/>
            <w:u w:val="single"/>
          </w:rPr>
          <w:t xml:space="preserve">Enterprise Program Alignment — decision canon</w:t>
        </w:r>
      </w:hyperlink>
    </w:p>
    <w:p>
      <w:pPr>
        <w:spacing w:before="0" w:after="100" w:line="269" w:lineRule="auto"/>
        <w:ind w:left="360" w:hanging="220"/>
      </w:pPr>
      <w:r>
        <w:rPr>
          <w:rFonts w:ascii="Arial" w:hAnsi="Arial"/>
          <w:sz w:val="19"/>
        </w:rPr>
        <w:t xml:space="preserve">— </w:t>
      </w:r>
      <w:hyperlink r:id="rId17">
        <w:r>
          <w:rPr>
            <w:rFonts w:ascii="Arial" w:hAnsi="Arial" w:cs="Arial" w:eastAsia="Arial"/>
            <w:sz w:val="19"/>
            <w:color w:val="1E3A5F"/>
            <w:u w:val="single"/>
          </w:rPr>
          <w:t xml:space="preserve">Steel Cloud Solutions — SAP North America additive layer</w:t>
        </w:r>
      </w:hyperlink>
    </w:p>
    <w:p>
      <w:pPr>
        <w:spacing w:before="0" w:after="100" w:line="269" w:lineRule="auto"/>
        <w:ind w:left="360" w:hanging="220"/>
      </w:pPr>
      <w:r>
        <w:rPr>
          <w:rFonts w:ascii="Arial" w:hAnsi="Arial"/>
          <w:sz w:val="19"/>
        </w:rPr>
        <w:t xml:space="preserve">— </w:t>
      </w:r>
      <w:hyperlink r:id="rId14">
        <w:r>
          <w:rPr>
            <w:rFonts w:ascii="Arial" w:hAnsi="Arial" w:cs="Arial" w:eastAsia="Arial"/>
            <w:sz w:val="19"/>
            <w:color w:val="1E3A5F"/>
            <w:u w:val="single"/>
          </w:rPr>
          <w:t xml:space="preserve">EVE is DMZ-bound by definition — EgD-EVE-DMZ-001</w:t>
        </w:r>
      </w:hyperlink>
    </w:p>
    <w:p>
      <w:pPr>
        <w:spacing w:before="0" w:after="100" w:line="269" w:lineRule="auto"/>
        <w:ind w:left="360" w:hanging="220"/>
      </w:pPr>
      <w:r>
        <w:rPr>
          <w:rFonts w:ascii="Arial" w:hAnsi="Arial"/>
          <w:sz w:val="19"/>
        </w:rPr>
        <w:t xml:space="preserve">— </w:t>
      </w:r>
      <w:hyperlink r:id="rId20">
        <w:r>
          <w:rPr>
            <w:rFonts w:ascii="Arial" w:hAnsi="Arial" w:cs="Arial" w:eastAsia="Arial"/>
            <w:sz w:val="19"/>
            <w:color w:val="1E3A5F"/>
            <w:u w:val="single"/>
          </w:rPr>
          <w:t xml:space="preserve">EVEglyphDesign Executive Boot Contract — EgD-BOOT-001</w:t>
        </w:r>
      </w:hyperlink>
    </w:p>
    <w:p>
      <w:pPr>
        <w:spacing w:before="0" w:after="120"/>
      </w:pPr>
      <w:r>
        <w:rPr>
          <w:rFonts w:ascii="Arial" w:hAnsi="Arial" w:cs="Arial" w:eastAsia="Arial"/>
          <w:b w:val="0"/>
          <w:i w:val="0"/>
          <w:color w:val="6B6B6B"/>
          <w:sz w:val="16"/>
        </w:rPr>
        <w:t>Evidence classification. Gartner's definitions are quoted from the linked public sources; no Gartner subscription research is reproduced. EVE capability statements are grounded in the committed repositories linked above and in delivered Peterbilt Atlantic work. Market segmentation, channel positioning, valuation implications and the analyst-relations route are advisory judgments of positioning, not verified facts.</w:t>
      </w:r>
    </w:p>
    <w:p>
      <w:r>
        <w:br w:type="page"/>
      </w:r>
    </w:p>
    <w:p>
      <w:pPr>
        <w:spacing w:before="280" w:after="100"/>
        <w:keepNext/>
        <w:pBdr>
          <w:top w:val="nil"/>
          <w:left w:val="nil"/>
          <w:bottom w:val="single" w:sz="8" w:space="0" w:color="d8d8d8"/>
          <w:right w:val="nil"/>
        </w:pBdr>
      </w:pPr>
      <w:r>
        <w:rPr>
          <w:rFonts w:ascii="Arial Narrow" w:hAnsi="Arial Narrow" w:cs="Arial Narrow" w:eastAsia="Arial Narrow"/>
          <w:b/>
          <w:i w:val="0"/>
          <w:color w:val="1E3A5F"/>
          <w:sz w:val="28"/>
          <w:spacing w:val="4"/>
        </w:rPr>
        <w:t>Reference register — EgD tags and content hashes</w:t>
      </w:r>
    </w:p>
    <w:p>
      <w:pPr>
        <w:spacing w:before="0" w:after="140" w:line="276" w:lineRule="auto"/>
        <w:jc w:val="both"/>
      </w:pPr>
      <w:r>
        <w:rPr>
          <w:rFonts w:ascii="Arial" w:hAnsi="Arial" w:cs="Arial" w:eastAsia="Arial"/>
          <w:b w:val="0"/>
          <w:i w:val="0"/>
          <w:color w:val="2B2B2B"/>
          <w:sz w:val="19"/>
        </w:rPr>
        <w:t>Every artifact below is addressable by tag across the EVEglyphDesign repositories. Hashes are SHA-256 over the committed file at build time, so a reviewer can confirm that the copy in front of them is the copy that was published.</w:t>
      </w:r>
    </w:p>
    <w:tbl>
      <w:tblPr>
        <w:tblW w:type="auto" w:w="0"/>
        <w:jc w:val="left"/>
        <w:tblLayout w:type="fixed"/>
        <w:tblLook w:firstColumn="1" w:firstRow="1" w:lastColumn="0" w:lastRow="0" w:noHBand="0" w:noVBand="1" w:val="04A0"/>
      </w:tblPr>
      <w:tblGrid>
        <w:gridCol w:w="2412"/>
        <w:gridCol w:w="2412"/>
        <w:gridCol w:w="2412"/>
        <w:gridCol w:w="2412"/>
      </w:tblGrid>
      <w:tr>
        <w:trPr>
          <w:tblHeader w:val="true"/>
        </w:trPr>
        <w:tc>
          <w:tcPr>
            <w:tcW w:type="dxa" w:w="1656"/>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Tag</w:t>
            </w:r>
          </w:p>
        </w:tc>
        <w:tc>
          <w:tcPr>
            <w:tcW w:type="dxa" w:w="2880"/>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Artifact</w:t>
            </w:r>
          </w:p>
        </w:tc>
        <w:tc>
          <w:tcPr>
            <w:tcW w:type="dxa" w:w="2664"/>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Repository path</w:t>
            </w:r>
          </w:p>
        </w:tc>
        <w:tc>
          <w:tcPr>
            <w:tcW w:type="dxa" w:w="2448"/>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SHA-256 (first 32)</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EgD-EVE-DI-001</w:t>
            </w:r>
          </w:p>
        </w:tc>
        <w:tc>
          <w:tcPr>
            <w:tcW w:type="dxa" w:w="288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This briefing note — copy source</w:t>
            </w:r>
          </w:p>
        </w:tc>
        <w:tc>
          <w:tcPr>
            <w:tcW w:type="dxa" w:w="26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build/di/content.py</w:t>
            </w:r>
          </w:p>
        </w:tc>
        <w:tc>
          <w:tcPr>
            <w:tcW w:type="dxa" w:w="2448"/>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aff69cba358e7f7136dc76c78ebec5aa…</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EgD-EVE-DI-001</w:t>
            </w:r>
          </w:p>
        </w:tc>
        <w:tc>
          <w:tcPr>
            <w:tcW w:type="dxa" w:w="288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This briefing note — controlled PDF</w:t>
            </w:r>
          </w:p>
        </w:tc>
        <w:tc>
          <w:tcPr>
            <w:tcW w:type="dxa" w:w="26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docs/di/EVEglyphDesign_EVE_Decision_Intelligence_Layer.pdf</w:t>
            </w:r>
          </w:p>
        </w:tc>
        <w:tc>
          <w:tcPr>
            <w:tcW w:type="dxa" w:w="2448"/>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487e88f4a541f4b4f93f68e4e9fe90d6…</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EgD-EVE-DI-001</w:t>
            </w:r>
          </w:p>
        </w:tc>
        <w:tc>
          <w:tcPr>
            <w:tcW w:type="dxa" w:w="288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This briefing note — public HTML surface</w:t>
            </w:r>
          </w:p>
        </w:tc>
        <w:tc>
          <w:tcPr>
            <w:tcW w:type="dxa" w:w="26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docs/di/index.html</w:t>
            </w:r>
          </w:p>
        </w:tc>
        <w:tc>
          <w:tcPr>
            <w:tcW w:type="dxa" w:w="2448"/>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9df18b9f8931d799e2d913fbb9f7383b…</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EgD-EVE-DMZ-001</w:t>
            </w:r>
          </w:p>
        </w:tc>
        <w:tc>
          <w:tcPr>
            <w:tcW w:type="dxa" w:w="288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DMZ-bound positioning — copy source</w:t>
            </w:r>
          </w:p>
        </w:tc>
        <w:tc>
          <w:tcPr>
            <w:tcW w:type="dxa" w:w="26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build/dmz/content.py</w:t>
            </w:r>
          </w:p>
        </w:tc>
        <w:tc>
          <w:tcPr>
            <w:tcW w:type="dxa" w:w="2448"/>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b25782b7226181b5af42d7b59cb643f9…</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EgD-EVE-DMZ-001</w:t>
            </w:r>
          </w:p>
        </w:tc>
        <w:tc>
          <w:tcPr>
            <w:tcW w:type="dxa" w:w="288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DMZ-bound positioning — controlled PDF</w:t>
            </w:r>
          </w:p>
        </w:tc>
        <w:tc>
          <w:tcPr>
            <w:tcW w:type="dxa" w:w="26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docs/dmz/EVEglyphDesign_EVE_DMZ_Bound_Positioning.pdf</w:t>
            </w:r>
          </w:p>
        </w:tc>
        <w:tc>
          <w:tcPr>
            <w:tcW w:type="dxa" w:w="2448"/>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43653327712b814944f4c100eed1820d…</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SCS house style</w:t>
            </w:r>
          </w:p>
        </w:tc>
        <w:tc>
          <w:tcPr>
            <w:tcW w:type="dxa" w:w="288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Word renderer, reused verbatim from scs-billing</w:t>
            </w:r>
          </w:p>
        </w:tc>
        <w:tc>
          <w:tcPr>
            <w:tcW w:type="dxa" w:w="26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build/di/docxout/render.py</w:t>
            </w:r>
          </w:p>
        </w:tc>
        <w:tc>
          <w:tcPr>
            <w:tcW w:type="dxa" w:w="2448"/>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821f04b89367aed90f2fe9a4f935b4e3…</w:t>
            </w:r>
          </w:p>
        </w:tc>
      </w:tr>
    </w:tbl>
    <w:p>
      <w:pPr>
        <w:spacing w:before="0" w:after="0" w:line="160" w:lineRule="exact"/>
      </w:pPr>
    </w:p>
    <w:p>
      <w:pPr>
        <w:keepNext/>
        <w:spacing w:before="200" w:after="60"/>
      </w:pPr>
      <w:r>
        <w:rPr>
          <w:rFonts w:ascii="Arial Narrow" w:hAnsi="Arial Narrow" w:cs="Arial Narrow" w:eastAsia="Arial Narrow"/>
          <w:b/>
          <w:i w:val="0"/>
          <w:color w:val="E33E2B"/>
          <w:sz w:val="21"/>
          <w:spacing w:val="12"/>
        </w:rPr>
        <w:t>TAG INDEX</w:t>
      </w:r>
    </w:p>
    <w:tbl>
      <w:tblPr>
        <w:tblW w:type="auto" w:w="0"/>
        <w:jc w:val="left"/>
        <w:tblLayout w:type="fixed"/>
        <w:tblLook w:firstColumn="1" w:firstRow="1" w:lastColumn="0" w:lastRow="0" w:noHBand="0" w:noVBand="1" w:val="04A0"/>
      </w:tblPr>
      <w:tblGrid>
        <w:gridCol w:w="3216"/>
        <w:gridCol w:w="3216"/>
        <w:gridCol w:w="3216"/>
      </w:tblGrid>
      <w:tr>
        <w:trPr>
          <w:tblHeader w:val="true"/>
        </w:trPr>
        <w:tc>
          <w:tcPr>
            <w:tcW w:type="dxa" w:w="1656"/>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Tag</w:t>
            </w:r>
          </w:p>
        </w:tc>
        <w:tc>
          <w:tcPr>
            <w:tcW w:type="dxa" w:w="5400"/>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What it governs</w:t>
            </w:r>
          </w:p>
        </w:tc>
        <w:tc>
          <w:tcPr>
            <w:tcW w:type="dxa" w:w="2592"/>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Home repository</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EgD-EVE-DI-001</w:t>
            </w:r>
          </w:p>
        </w:tc>
        <w:tc>
          <w:tcPr>
            <w:tcW w:type="dxa" w:w="540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This note — EVE as an additive decision-intelligence layer</w:t>
            </w:r>
          </w:p>
        </w:tc>
        <w:tc>
          <w:tcPr>
            <w:tcW w:type="dxa" w:w="2592"/>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scs-sap-gtm</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EgD-EVE-DMZ-001</w:t>
            </w:r>
          </w:p>
        </w:tc>
        <w:tc>
          <w:tcPr>
            <w:tcW w:type="dxa" w:w="540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EVE is DMZ-bound by definition — the additive boundary</w:t>
            </w:r>
          </w:p>
        </w:tc>
        <w:tc>
          <w:tcPr>
            <w:tcW w:type="dxa" w:w="2592"/>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scs-sap-gtm</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EgD-BOOT-001</w:t>
            </w:r>
          </w:p>
        </w:tc>
        <w:tc>
          <w:tcPr>
            <w:tcW w:type="dxa" w:w="540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Executive Boot Contract — retrieval ladder, spend classes, output canon</w:t>
            </w:r>
          </w:p>
        </w:tc>
        <w:tc>
          <w:tcPr>
            <w:tcW w:type="dxa" w:w="2592"/>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eve-glyph-boot-contract</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EgD-BOOT-002</w:t>
            </w:r>
          </w:p>
        </w:tc>
        <w:tc>
          <w:tcPr>
            <w:tcW w:type="dxa" w:w="540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Burn Ledger measurement gate — credits per artifact, daily control</w:t>
            </w:r>
          </w:p>
        </w:tc>
        <w:tc>
          <w:tcPr>
            <w:tcW w:type="dxa" w:w="2592"/>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eve-glyph-boot-contract</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EgD-BOOT-003</w:t>
            </w:r>
          </w:p>
        </w:tc>
        <w:tc>
          <w:tcPr>
            <w:tcW w:type="dxa" w:w="540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Durability and non-destruction — the repository is the record</w:t>
            </w:r>
          </w:p>
        </w:tc>
        <w:tc>
          <w:tcPr>
            <w:tcW w:type="dxa" w:w="2592"/>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eve-glyph-boot-contract</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EgD-BOOT-004</w:t>
            </w:r>
          </w:p>
        </w:tc>
        <w:tc>
          <w:tcPr>
            <w:tcW w:type="dxa" w:w="540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Everything lands in the repository — no session-only state</w:t>
            </w:r>
          </w:p>
        </w:tc>
        <w:tc>
          <w:tcPr>
            <w:tcW w:type="dxa" w:w="2592"/>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eve-glyph-boot-contract</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EgD-BOOT-005</w:t>
            </w:r>
          </w:p>
        </w:tc>
        <w:tc>
          <w:tcPr>
            <w:tcW w:type="dxa" w:w="540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Versioned and reversible — every change states its inverse</w:t>
            </w:r>
          </w:p>
        </w:tc>
        <w:tc>
          <w:tcPr>
            <w:tcW w:type="dxa" w:w="2592"/>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eve-glyph-boot-contract</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EgD-BOOT-006</w:t>
            </w:r>
          </w:p>
        </w:tc>
        <w:tc>
          <w:tcPr>
            <w:tcW w:type="dxa" w:w="540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The rule of three — architecture explicable in words</w:t>
            </w:r>
          </w:p>
        </w:tc>
        <w:tc>
          <w:tcPr>
            <w:tcW w:type="dxa" w:w="2592"/>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eve-glyph-boot-contract</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EgD-BOOT-007</w:t>
            </w:r>
          </w:p>
        </w:tc>
        <w:tc>
          <w:tcPr>
            <w:tcW w:type="dxa" w:w="540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The burn switch — ECONOMY and BURN model-routing lanes</w:t>
            </w:r>
          </w:p>
        </w:tc>
        <w:tc>
          <w:tcPr>
            <w:tcW w:type="dxa" w:w="2592"/>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eve-glyph-boot-contract</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EgD-GEO-003</w:t>
            </w:r>
          </w:p>
        </w:tc>
        <w:tc>
          <w:tcPr>
            <w:tcW w:type="dxa" w:w="540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Sovereign-starter geometry — reference drawing wins over prose</w:t>
            </w:r>
          </w:p>
        </w:tc>
        <w:tc>
          <w:tcPr>
            <w:tcW w:type="dxa" w:w="2592"/>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eve-glyph-boot-contract</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EgD-KEY-2026-07</w:t>
            </w:r>
          </w:p>
        </w:tc>
        <w:tc>
          <w:tcPr>
            <w:tcW w:type="dxa" w:w="540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Controlled-copy key ID stamped on every canon artifact</w:t>
            </w:r>
          </w:p>
        </w:tc>
        <w:tc>
          <w:tcPr>
            <w:tcW w:type="dxa" w:w="2592"/>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eve-glyph-boot-contract</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EgD-SCT-001</w:t>
            </w:r>
          </w:p>
        </w:tc>
        <w:tc>
          <w:tcPr>
            <w:tcW w:type="dxa" w:w="540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Sovereign Capital Twin — custody at L0, CONTRACTUS register at L1</w:t>
            </w:r>
          </w:p>
        </w:tc>
        <w:tc>
          <w:tcPr>
            <w:tcW w:type="dxa" w:w="2592"/>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eve-datasphere-sovereign</w:t>
            </w:r>
          </w:p>
        </w:tc>
      </w:tr>
      <w:tr>
        <w:tc>
          <w:tcPr>
            <w:tcW w:type="dxa" w:w="1656"/>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EgD-SCT-INS-001</w:t>
            </w:r>
          </w:p>
        </w:tc>
        <w:tc>
          <w:tcPr>
            <w:tcW w:type="dxa" w:w="5400"/>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Latencia — 2,000 synthetic commitments, published refusals</w:t>
            </w:r>
          </w:p>
        </w:tc>
        <w:tc>
          <w:tcPr>
            <w:tcW w:type="dxa" w:w="2592"/>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eve-datasphere-sovereign</w:t>
            </w:r>
          </w:p>
        </w:tc>
      </w:tr>
      <w:tr>
        <w:tc>
          <w:tcPr>
            <w:tcW w:type="dxa" w:w="1656"/>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EgD-HAN-PNL-001</w:t>
            </w:r>
          </w:p>
        </w:tc>
        <w:tc>
          <w:tcPr>
            <w:tcW w:type="dxa" w:w="5400"/>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Hana Europe / EAT HAPPY consolidation brief — DMZ test case</w:t>
            </w:r>
          </w:p>
        </w:tc>
        <w:tc>
          <w:tcPr>
            <w:tcW w:type="dxa" w:w="2592"/>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eat-happy-hana</w:t>
            </w:r>
          </w:p>
        </w:tc>
      </w:tr>
    </w:tbl>
    <w:p>
      <w:pPr>
        <w:spacing w:before="0" w:after="0" w:line="160" w:lineRule="exact"/>
      </w:pPr>
    </w:p>
    <w:p>
      <w:pPr>
        <w:keepNext/>
        <w:spacing w:before="200" w:after="60"/>
      </w:pPr>
      <w:r>
        <w:rPr>
          <w:rFonts w:ascii="Arial Narrow" w:hAnsi="Arial Narrow" w:cs="Arial Narrow" w:eastAsia="Arial Narrow"/>
          <w:b/>
          <w:i w:val="0"/>
          <w:color w:val="E33E2B"/>
          <w:sz w:val="21"/>
          <w:spacing w:val="12"/>
        </w:rPr>
        <w:t>DEFECT CLASSES — EGD-BOOT-001 §5</w:t>
      </w:r>
    </w:p>
    <w:tbl>
      <w:tblPr>
        <w:tblW w:type="auto" w:w="0"/>
        <w:jc w:val="left"/>
        <w:tblLayout w:type="fixed"/>
        <w:tblLook w:firstColumn="1" w:firstRow="1" w:lastColumn="0" w:lastRow="0" w:noHBand="0" w:noVBand="1" w:val="04A0"/>
      </w:tblPr>
      <w:tblGrid>
        <w:gridCol w:w="4824"/>
        <w:gridCol w:w="4824"/>
      </w:tblGrid>
      <w:tr>
        <w:trPr>
          <w:tblHeader w:val="true"/>
        </w:trPr>
        <w:tc>
          <w:tcPr>
            <w:tcW w:type="dxa" w:w="864"/>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Class</w:t>
            </w:r>
          </w:p>
        </w:tc>
        <w:tc>
          <w:tcPr>
            <w:tcW w:type="dxa" w:w="8784"/>
            <w:shd w:val="clear" w:color="auto" w:fill="1e3a5f"/>
            <w:tcBorders>
              <w:top w:val="nil"/>
              <w:left w:val="nil"/>
              <w:bottom w:val="single" w:sz="4" w:space="0" w:color="d8d8d8"/>
              <w:right w:val="nil"/>
            </w:tcBorders>
          </w:tcPr>
          <w:p>
            <w:pPr>
              <w:keepNext/>
              <w:spacing w:before="60" w:after="60"/>
            </w:pPr>
            <w:r>
              <w:rPr>
                <w:rFonts w:ascii="Arial" w:hAnsi="Arial" w:cs="Arial" w:eastAsia="Arial"/>
                <w:b/>
                <w:i w:val="0"/>
                <w:color w:val="FFFFFF"/>
                <w:sz w:val="17"/>
              </w:rPr>
              <w:t>Defect</w:t>
            </w:r>
          </w:p>
        </w:tc>
      </w:tr>
      <w:tr>
        <w:tc>
          <w:tcPr>
            <w:tcW w:type="dxa" w:w="8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L</w:t>
            </w:r>
          </w:p>
        </w:tc>
        <w:tc>
          <w:tcPr>
            <w:tcW w:type="dxa" w:w="878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Link or format — a bare, non-clickable URL</w:t>
            </w:r>
          </w:p>
        </w:tc>
      </w:tr>
      <w:tr>
        <w:tc>
          <w:tcPr>
            <w:tcW w:type="dxa" w:w="8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R</w:t>
            </w:r>
          </w:p>
        </w:tc>
        <w:tc>
          <w:tcPr>
            <w:tcW w:type="dxa" w:w="878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Retrieval waste — a held fact re-derived from scratch</w:t>
            </w:r>
          </w:p>
        </w:tc>
      </w:tr>
      <w:tr>
        <w:tc>
          <w:tcPr>
            <w:tcW w:type="dxa" w:w="8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S</w:t>
            </w:r>
          </w:p>
        </w:tc>
        <w:tc>
          <w:tcPr>
            <w:tcW w:type="dxa" w:w="878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Unconfirmed spend — an expensive action taken without approval</w:t>
            </w:r>
          </w:p>
        </w:tc>
      </w:tr>
      <w:tr>
        <w:tc>
          <w:tcPr>
            <w:tcW w:type="dxa" w:w="8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I</w:t>
            </w:r>
          </w:p>
        </w:tc>
        <w:tc>
          <w:tcPr>
            <w:tcW w:type="dxa" w:w="878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Interrupt — permission requested for a free action</w:t>
            </w:r>
          </w:p>
        </w:tc>
      </w:tr>
      <w:tr>
        <w:tc>
          <w:tcPr>
            <w:tcW w:type="dxa" w:w="8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C</w:t>
            </w:r>
          </w:p>
        </w:tc>
        <w:tc>
          <w:tcPr>
            <w:tcW w:type="dxa" w:w="878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Canon breach — palette, typography, naming or format</w:t>
            </w:r>
          </w:p>
        </w:tc>
      </w:tr>
      <w:tr>
        <w:tc>
          <w:tcPr>
            <w:tcW w:type="dxa" w:w="8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w:t>
            </w:r>
          </w:p>
        </w:tc>
        <w:tc>
          <w:tcPr>
            <w:tcW w:type="dxa" w:w="878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Durability — state that exists only inside a session</w:t>
            </w:r>
          </w:p>
        </w:tc>
      </w:tr>
      <w:tr>
        <w:tc>
          <w:tcPr>
            <w:tcW w:type="dxa" w:w="86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V</w:t>
            </w:r>
          </w:p>
        </w:tc>
        <w:tc>
          <w:tcPr>
            <w:tcW w:type="dxa" w:w="8784"/>
            <w:shd w:val="clear" w:color="auto" w:fill="ffffff"/>
            <w:tcBorders>
              <w:top w:val="nil"/>
              <w:left w:val="nil"/>
              <w:bottom w:val="single" w:sz="4" w:space="0" w:color="d8d8d8"/>
              <w:right w:val="nil"/>
            </w:tcBorders>
          </w:tcPr>
          <w:p>
            <w:pPr>
              <w:spacing w:before="60" w:after="60"/>
            </w:pPr>
            <w:r>
              <w:rPr>
                <w:rFonts w:ascii="Arial" w:hAnsi="Arial" w:cs="Arial" w:eastAsia="Arial"/>
                <w:b w:val="0"/>
                <w:i w:val="0"/>
                <w:color w:val="2B2B2B"/>
                <w:sz w:val="17"/>
              </w:rPr>
              <w:t>Unversioned or irreversible — a change with no stated inverse</w:t>
            </w:r>
          </w:p>
        </w:tc>
      </w:tr>
      <w:tr>
        <w:tc>
          <w:tcPr>
            <w:tcW w:type="dxa" w:w="86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T</w:t>
            </w:r>
          </w:p>
        </w:tc>
        <w:tc>
          <w:tcPr>
            <w:tcW w:type="dxa" w:w="8784"/>
            <w:shd w:val="clear" w:color="auto" w:fill="f5f3ee"/>
            <w:tcBorders>
              <w:top w:val="nil"/>
              <w:left w:val="nil"/>
              <w:bottom w:val="single" w:sz="4" w:space="0" w:color="d8d8d8"/>
              <w:right w:val="nil"/>
            </w:tcBorders>
          </w:tcPr>
          <w:p>
            <w:pPr>
              <w:spacing w:before="60" w:after="60"/>
            </w:pPr>
            <w:r>
              <w:rPr>
                <w:rFonts w:ascii="Arial" w:hAnsi="Arial" w:cs="Arial" w:eastAsia="Arial"/>
                <w:b w:val="0"/>
                <w:i w:val="0"/>
                <w:color w:val="2B2B2B"/>
                <w:sz w:val="17"/>
              </w:rPr>
              <w:t>Drift or shape breach — a return that varied its written shape</w:t>
            </w:r>
          </w:p>
        </w:tc>
      </w:tr>
    </w:tbl>
    <w:p>
      <w:pPr>
        <w:spacing w:before="0" w:after="0" w:line="160" w:lineRule="exact"/>
      </w:pPr>
    </w:p>
    <w:p>
      <w:pPr>
        <w:keepNext/>
        <w:spacing w:before="200" w:after="60"/>
      </w:pPr>
      <w:r>
        <w:rPr>
          <w:rFonts w:ascii="Arial Narrow" w:hAnsi="Arial Narrow" w:cs="Arial Narrow" w:eastAsia="Arial Narrow"/>
          <w:b/>
          <w:i w:val="0"/>
          <w:color w:val="E33E2B"/>
          <w:sz w:val="21"/>
          <w:spacing w:val="12"/>
        </w:rPr>
        <w:t>THIS DOCUMENT</w:t>
      </w:r>
    </w:p>
    <w:p>
      <w:pPr>
        <w:spacing w:before="0" w:after="120"/>
      </w:pPr>
      <w:r>
        <w:rPr>
          <w:rFonts w:ascii="Arial" w:hAnsi="Arial" w:cs="Arial" w:eastAsia="Arial"/>
          <w:b w:val="0"/>
          <w:i w:val="0"/>
          <w:color w:val="6B6B6B"/>
          <w:sz w:val="16"/>
        </w:rPr>
        <w:t xml:space="preserve">Document tag </w:t>
      </w:r>
      <w:r>
        <w:rPr>
          <w:rFonts w:ascii="Arial" w:hAnsi="Arial" w:cs="Arial" w:eastAsia="Arial"/>
          <w:b/>
          <w:i w:val="0"/>
          <w:color w:val="6B6B6B"/>
          <w:sz w:val="16"/>
        </w:rPr>
        <w:t>EgD-EVE-DI-001</w:t>
      </w:r>
      <w:r>
        <w:rPr>
          <w:rFonts w:ascii="Arial" w:hAnsi="Arial" w:cs="Arial" w:eastAsia="Arial"/>
          <w:b w:val="0"/>
          <w:i w:val="0"/>
          <w:color w:val="6B6B6B"/>
          <w:sz w:val="16"/>
        </w:rPr>
        <w:t xml:space="preserve"> · key ID </w:t>
      </w:r>
      <w:r>
        <w:rPr>
          <w:rFonts w:ascii="Arial" w:hAnsi="Arial" w:cs="Arial" w:eastAsia="Arial"/>
          <w:b/>
          <w:i w:val="0"/>
          <w:color w:val="6B6B6B"/>
          <w:sz w:val="16"/>
        </w:rPr>
        <w:t>EgD-KEY-2026-07</w:t>
      </w:r>
      <w:r>
        <w:rPr>
          <w:rFonts w:ascii="Arial" w:hAnsi="Arial" w:cs="Arial" w:eastAsia="Arial"/>
          <w:b w:val="0"/>
          <w:i w:val="0"/>
          <w:color w:val="6B6B6B"/>
          <w:sz w:val="16"/>
        </w:rPr>
        <w:t xml:space="preserve"> · copy-source SHA-256 </w:t>
      </w:r>
      <w:r>
        <w:rPr>
          <w:rFonts w:ascii="Arial" w:hAnsi="Arial" w:cs="Arial" w:eastAsia="Arial"/>
          <w:b/>
          <w:i w:val="0"/>
          <w:color w:val="6B6B6B"/>
          <w:sz w:val="16"/>
        </w:rPr>
        <w:t>aff69cba358e7f7136dc76c78ebec5aa1be90bc94b45e9c1f060ad83a1bfe290</w:t>
      </w:r>
      <w:r>
        <w:rPr>
          <w:rFonts w:ascii="Arial" w:hAnsi="Arial" w:cs="Arial" w:eastAsia="Arial"/>
          <w:b w:val="0"/>
          <w:i w:val="0"/>
          <w:color w:val="6B6B6B"/>
          <w:sz w:val="16"/>
        </w:rPr>
        <w:t xml:space="preserve"> · built 2026-09-21T01:39:55Z. Governed by </w:t>
      </w:r>
      <w:hyperlink r:id="rId20">
        <w:r>
          <w:rPr>
            <w:rFonts w:ascii="Arial" w:hAnsi="Arial" w:cs="Arial" w:eastAsia="Arial"/>
            <w:sz w:val="16"/>
            <w:color w:val="1E3A5F"/>
            <w:u w:val="single"/>
          </w:rPr>
          <w:t xml:space="preserve">EgD-BOOT-001</w:t>
        </w:r>
      </w:hyperlink>
      <w:r>
        <w:rPr>
          <w:rFonts w:ascii="Arial" w:hAnsi="Arial" w:cs="Arial" w:eastAsia="Arial"/>
          <w:b w:val="0"/>
          <w:i w:val="0"/>
          <w:color w:val="6B6B6B"/>
          <w:sz w:val="16"/>
        </w:rPr>
        <w:t xml:space="preserve">. Source and build: </w:t>
      </w:r>
      <w:hyperlink r:id="rId21">
        <w:r>
          <w:rPr>
            <w:rFonts w:ascii="Arial" w:hAnsi="Arial" w:cs="Arial" w:eastAsia="Arial"/>
            <w:sz w:val="16"/>
            <w:color w:val="1E3A5F"/>
            <w:u w:val="single"/>
          </w:rPr>
          <w:t xml:space="preserve">scs-sap-gtm/build/di</w:t>
        </w:r>
      </w:hyperlink>
      <w:r>
        <w:rPr>
          <w:rFonts w:ascii="Arial" w:hAnsi="Arial" w:cs="Arial" w:eastAsia="Arial"/>
          <w:b w:val="0"/>
          <w:i w:val="0"/>
          <w:color w:val="6B6B6B"/>
          <w:sz w:val="16"/>
        </w:rPr>
        <w:t>.</w:t>
      </w:r>
    </w:p>
    <w:sectPr w:rsidR="00FC693F" w:rsidRPr="0006063C" w:rsidSect="00034616">
      <w:headerReference w:type="default" r:id="rId9"/>
      <w:footerReference w:type="default" r:id="rId10"/>
      <w:pgSz w:w="12240" w:h="15840"/>
      <w:pgMar w:top="1152" w:right="1296" w:bottom="1152" w:left="1296"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Bdr>
        <w:top w:val="single" w:sz="4" w:space="0" w:color="d8d8d8"/>
        <w:left w:val="nil"/>
        <w:bottom w:val="nil"/>
        <w:right w:val="nil"/>
      </w:pBdr>
      <w:spacing w:before="80" w:after="0"/>
    </w:pPr>
    <w:r>
      <w:rPr>
        <w:rFonts w:ascii="Arial" w:hAnsi="Arial" w:cs="Arial" w:eastAsia="Arial"/>
        <w:b w:val="0"/>
        <w:i w:val="0"/>
        <w:color w:val="6B6B6B"/>
        <w:sz w:val="13"/>
      </w:rPr>
      <w:t>© 2026 Steel Cloud Solutions, LLC · controlled draft · EgD-KEY-2026-07 · SHA-256 aff69cba358e7f71…</w:t>
    </w:r>
    <w:r>
      <w:rPr>
        <w:rFonts w:ascii="Arial" w:hAnsi="Arial" w:cs="Arial" w:eastAsia="Arial"/>
        <w:b w:val="0"/>
        <w:i w:val="0"/>
        <w:color w:val="6B6B6B"/>
        <w:sz w:val="13"/>
      </w:rPr>
      <w:tab/>
      <w:t xml:space="preserve">Page </w:t>
    </w:r>
    <w:r>
      <w:rPr>
        <w:rFonts w:ascii="Arial" w:hAnsi="Arial"/>
        <w:color w:val="6B6B6B"/>
        <w:sz w:val="13"/>
      </w:rPr>
      <w:fldChar w:fldCharType="begin"/>
      <w:instrText xml:space="preserve">PAGE</w:instrText>
      <w:fldChar w:fldCharType="end"/>
    </w:r>
    <w:r>
      <w:rPr>
        <w:rFonts w:ascii="Arial" w:hAnsi="Arial" w:cs="Arial" w:eastAsia="Arial"/>
        <w:b w:val="0"/>
        <w:i w:val="0"/>
        <w:color w:val="6B6B6B"/>
        <w:sz w:val="13"/>
      </w:rPr>
      <w:t xml:space="preserve"> of </w:t>
    </w:r>
    <w:r>
      <w:rPr>
        <w:rFonts w:ascii="Arial" w:hAnsi="Arial"/>
        <w:color w:val="6B6B6B"/>
        <w:sz w:val="13"/>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2736" w:val="left"/>
      </w:tabs>
      <w:pBdr>
        <w:top w:val="nil"/>
        <w:left w:val="nil"/>
        <w:bottom w:val="single" w:sz="18" w:space="0" w:color="e33e2b"/>
        <w:right w:val="nil"/>
      </w:pBdr>
      <w:spacing w:before="0" w:after="120"/>
    </w:pPr>
    <w:r>
      <w:rPr>
        <w:rFonts w:ascii="Arial Narrow" w:hAnsi="Arial Narrow" w:cs="Arial Narrow" w:eastAsia="Arial Narrow"/>
        <w:b/>
        <w:i w:val="0"/>
        <w:color w:val="1E3A5F"/>
        <w:sz w:val="18"/>
        <w:spacing w:val="20"/>
      </w:rPr>
      <w:t>STEEL CLOUD SOLUTIONS</w:t>
    </w:r>
    <w:r>
      <w:rPr>
        <w:rFonts w:ascii="Arial" w:hAnsi="Arial" w:cs="Arial" w:eastAsia="Arial"/>
        <w:b w:val="0"/>
        <w:i w:val="0"/>
        <w:color w:val="6B6B6B"/>
        <w:sz w:val="15"/>
      </w:rPr>
      <w:tab/>
      <w:t>EgD-EVE-DI-001 · EVE as an additive decision-intelligence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artner.com/en/information-technology/glossary/decision-intelligence" TargetMode="External"/><Relationship Id="rId12" Type="http://schemas.openxmlformats.org/officeDocument/2006/relationships/hyperlink" Target="https://www.linkedin.com/posts/davidpidsley_decisionintelligence-activity-7338643731249590274-YrIw" TargetMode="External"/><Relationship Id="rId13" Type="http://schemas.openxmlformats.org/officeDocument/2006/relationships/hyperlink" Target="https://www.fico.com/blogs/what-decision-intelligence-software-and-should-you-invest-it" TargetMode="External"/><Relationship Id="rId14" Type="http://schemas.openxmlformats.org/officeDocument/2006/relationships/hyperlink" Target="https://eveglyphdesign.github.io/scs-sap-gtm/dmz/" TargetMode="External"/><Relationship Id="rId15" Type="http://schemas.openxmlformats.org/officeDocument/2006/relationships/hyperlink" Target="https://eveglyphdesign.github.io/enterprise-program-alignment/" TargetMode="External"/><Relationship Id="rId16" Type="http://schemas.openxmlformats.org/officeDocument/2006/relationships/hyperlink" Target="https://github.com/EVEglyphDesign/decision-intelligence-framework" TargetMode="External"/><Relationship Id="rId17" Type="http://schemas.openxmlformats.org/officeDocument/2006/relationships/hyperlink" Target="https://eveglyphdesign.github.io/scs-sap-gtm/" TargetMode="External"/><Relationship Id="rId18" Type="http://schemas.openxmlformats.org/officeDocument/2006/relationships/hyperlink" Target="https://github.com/EVEglyphDesign/eve-datasphere-sovereign" TargetMode="External"/><Relationship Id="rId19" Type="http://schemas.openxmlformats.org/officeDocument/2006/relationships/hyperlink" Target="https://github.com/EVEglyphDesign/enterprise-program-alignment/blob/main/DECISIONS.md" TargetMode="External"/><Relationship Id="rId20" Type="http://schemas.openxmlformats.org/officeDocument/2006/relationships/hyperlink" Target="https://eveglyphdesign.github.io/eve-glyph-boot-contract/" TargetMode="External"/><Relationship Id="rId21" Type="http://schemas.openxmlformats.org/officeDocument/2006/relationships/hyperlink" Target="https://github.com/EVEglyphDesign/scs-sap-gtm/tree/main/build/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 as an additive decision-intelligence layer</dc:title>
  <dc:subject/>
  <dc:creator>EVEglyphDesign</dc:creator>
  <cp:keywords/>
  <dc:description>EgD-EVE-DI-001 · SHA-256 aff69cba358e7f7136dc76c78ebec5aa1be90bc94b45e9c1f060ad83a1bfe290</dc:description>
  <cp:lastModifiedBy/>
  <cp:revision>1</cp:revision>
  <dcterms:created xsi:type="dcterms:W3CDTF">2013-12-23T23:15:00Z</dcterms:created>
  <dcterms:modified xsi:type="dcterms:W3CDTF">2013-12-23T23:15:00Z</dcterms:modified>
  <cp:category/>
</cp:coreProperties>
</file>