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3CDA" w:rsidRPr="00793CDA" w:rsidRDefault="00793CDA" w:rsidP="00793CDA">
      <w:pPr>
        <w:jc w:val="both"/>
        <w:rPr>
          <w:b/>
          <w:bCs/>
        </w:rPr>
      </w:pPr>
      <w:r w:rsidRPr="00793CDA">
        <w:rPr>
          <w:b/>
          <w:bCs/>
        </w:rPr>
        <w:t>Un ejemplo de los grupos de cuentas más usuales (descríbelos).</w:t>
      </w:r>
    </w:p>
    <w:p w:rsidR="00793CDA" w:rsidRDefault="00793CDA" w:rsidP="00793CDA">
      <w:pPr>
        <w:jc w:val="both"/>
      </w:pPr>
    </w:p>
    <w:p w:rsidR="00793CDA" w:rsidRDefault="00793CDA" w:rsidP="00793CDA">
      <w:pPr>
        <w:jc w:val="both"/>
      </w:pPr>
      <w:r>
        <w:t>Un gr</w:t>
      </w:r>
      <w:r>
        <w:t xml:space="preserve">upo de cuentas es el registro de las operaciones financieras que realiza </w:t>
      </w:r>
      <w:r w:rsidR="001F2F35">
        <w:t>un</w:t>
      </w:r>
      <w:r>
        <w:t xml:space="preserve"> </w:t>
      </w:r>
      <w:r>
        <w:t>ente público</w:t>
      </w:r>
      <w:r>
        <w:t xml:space="preserve">. Cada grupo se integra </w:t>
      </w:r>
      <w:r w:rsidR="001F2F35">
        <w:t>tomando en cuenta la</w:t>
      </w:r>
      <w:r>
        <w:t xml:space="preserve"> similitud del movimiento financiero que se deba realizar con él.</w:t>
      </w:r>
      <w:r w:rsidR="001F2F35">
        <w:t xml:space="preserve"> </w:t>
      </w:r>
      <w:r>
        <w:t>Los grupos de cuentas más usuales son:</w:t>
      </w:r>
    </w:p>
    <w:p w:rsidR="001F2F35" w:rsidRDefault="001F2F35" w:rsidP="00793CDA">
      <w:pPr>
        <w:jc w:val="both"/>
      </w:pPr>
    </w:p>
    <w:p w:rsidR="001F2F35" w:rsidRDefault="00793CDA" w:rsidP="001F2F35">
      <w:pPr>
        <w:pStyle w:val="Prrafodelista"/>
        <w:numPr>
          <w:ilvl w:val="0"/>
          <w:numId w:val="4"/>
        </w:numPr>
        <w:jc w:val="both"/>
      </w:pPr>
      <w:r>
        <w:t>Activo</w:t>
      </w:r>
      <w:r w:rsidR="001F2F35">
        <w:t xml:space="preserve">. </w:t>
      </w:r>
      <w:r w:rsidR="001F2F35" w:rsidRPr="001F2F35">
        <w:t xml:space="preserve">En el grupo de cuentas de activo se registran todos los bienes y derechos </w:t>
      </w:r>
      <w:r w:rsidR="001F2F35">
        <w:t>del ente público.</w:t>
      </w:r>
    </w:p>
    <w:p w:rsidR="001F2F35" w:rsidRDefault="001F2F35" w:rsidP="001F2F35">
      <w:pPr>
        <w:pStyle w:val="Prrafodelista"/>
        <w:numPr>
          <w:ilvl w:val="0"/>
          <w:numId w:val="4"/>
        </w:numPr>
        <w:jc w:val="both"/>
      </w:pPr>
      <w:r>
        <w:t>P</w:t>
      </w:r>
      <w:r w:rsidR="00793CDA">
        <w:t>atrimonio</w:t>
      </w:r>
      <w:r>
        <w:t xml:space="preserve">. </w:t>
      </w:r>
      <w:r w:rsidRPr="001F2F35">
        <w:t>Son aquellas cuentas en las que se registra el valor del patrimonio</w:t>
      </w:r>
      <w:r>
        <w:t>.</w:t>
      </w:r>
    </w:p>
    <w:p w:rsidR="001F2F35" w:rsidRDefault="00793CDA" w:rsidP="001F2F35">
      <w:pPr>
        <w:pStyle w:val="Prrafodelista"/>
        <w:numPr>
          <w:ilvl w:val="0"/>
          <w:numId w:val="4"/>
        </w:numPr>
        <w:jc w:val="both"/>
      </w:pPr>
      <w:r>
        <w:t>Pasivo</w:t>
      </w:r>
      <w:r w:rsidR="001F2F35">
        <w:t xml:space="preserve">. </w:t>
      </w:r>
      <w:r w:rsidR="001F2F35" w:rsidRPr="001F2F35">
        <w:t>En este grupo se concentran todas las cuentas en las que se registran las deudas y obligaciones que debe pagar el</w:t>
      </w:r>
      <w:r w:rsidR="001F2F35">
        <w:t xml:space="preserve"> ente público.</w:t>
      </w:r>
    </w:p>
    <w:p w:rsidR="00793CDA" w:rsidRDefault="00793CDA" w:rsidP="001F2F35">
      <w:pPr>
        <w:pStyle w:val="Prrafodelista"/>
        <w:numPr>
          <w:ilvl w:val="0"/>
          <w:numId w:val="4"/>
        </w:numPr>
        <w:jc w:val="both"/>
      </w:pPr>
      <w:r>
        <w:t>Resultados.</w:t>
      </w:r>
      <w:r w:rsidR="001F2F35">
        <w:t xml:space="preserve"> </w:t>
      </w:r>
      <w:r w:rsidR="001F2F35" w:rsidRPr="001F2F35">
        <w:t>Son las cuentas que representan el dinero en efectivo que se deriva del ejercicio y aplicación de las leyes de ingresos y presupuestos de egresos.</w:t>
      </w:r>
    </w:p>
    <w:p w:rsidR="00793CDA" w:rsidRDefault="00793CDA" w:rsidP="00793CDA">
      <w:pPr>
        <w:jc w:val="both"/>
      </w:pPr>
    </w:p>
    <w:p w:rsidR="00793CDA" w:rsidRPr="00793CDA" w:rsidRDefault="00793CDA" w:rsidP="00793CDA">
      <w:pPr>
        <w:jc w:val="both"/>
        <w:rPr>
          <w:b/>
          <w:bCs/>
        </w:rPr>
      </w:pPr>
      <w:r w:rsidRPr="00793CDA">
        <w:rPr>
          <w:b/>
          <w:bCs/>
        </w:rPr>
        <w:t>Un ejemplo de informe financiero (describe qué es y qué contiene).</w:t>
      </w:r>
    </w:p>
    <w:p w:rsidR="00793CDA" w:rsidRDefault="00793CDA" w:rsidP="00793CDA">
      <w:pPr>
        <w:jc w:val="both"/>
      </w:pPr>
    </w:p>
    <w:p w:rsidR="00793CDA" w:rsidRDefault="00793CDA" w:rsidP="00793CDA">
      <w:pPr>
        <w:pStyle w:val="Prrafodelista"/>
        <w:numPr>
          <w:ilvl w:val="0"/>
          <w:numId w:val="3"/>
        </w:numPr>
        <w:jc w:val="both"/>
      </w:pPr>
      <w:r>
        <w:t>E</w:t>
      </w:r>
      <w:r w:rsidRPr="00793CDA">
        <w:t>stado de variaciones en la hacienda pública/patrimonio</w:t>
      </w:r>
    </w:p>
    <w:p w:rsidR="00793CDA" w:rsidRDefault="00793CDA" w:rsidP="00793CDA">
      <w:pPr>
        <w:jc w:val="both"/>
      </w:pPr>
    </w:p>
    <w:p w:rsidR="00BC526B" w:rsidRDefault="00793CDA" w:rsidP="00793CDA">
      <w:pPr>
        <w:jc w:val="both"/>
      </w:pPr>
      <w:r>
        <w:t xml:space="preserve">Este estado </w:t>
      </w:r>
      <w:r w:rsidR="001F2F35">
        <w:t>se muestran</w:t>
      </w:r>
      <w:r>
        <w:t xml:space="preserve"> los cambios que sufrieron los distintos elementos que componen la Hacienda Pública/Patrimonio de un ente público. Además</w:t>
      </w:r>
      <w:r w:rsidR="001F2F35">
        <w:t>, muestra</w:t>
      </w:r>
      <w:r w:rsidR="00BC526B">
        <w:t xml:space="preserve"> las</w:t>
      </w:r>
      <w:r>
        <w:t xml:space="preserve"> variaciones</w:t>
      </w:r>
      <w:r w:rsidR="00BC526B">
        <w:t xml:space="preserve"> y</w:t>
      </w:r>
      <w:r>
        <w:t xml:space="preserve"> busca explicar y analizar cada una de ellas. </w:t>
      </w:r>
    </w:p>
    <w:p w:rsidR="00BC526B" w:rsidRDefault="00BC526B" w:rsidP="00793CDA">
      <w:pPr>
        <w:jc w:val="both"/>
      </w:pPr>
    </w:p>
    <w:p w:rsidR="00793CDA" w:rsidRDefault="00793CDA" w:rsidP="00793CDA">
      <w:pPr>
        <w:jc w:val="both"/>
      </w:pPr>
      <w:r>
        <w:t>De su análisis se pueden detectar las situaciones negativas y positivas acontecidas durante el ejercicio que pueden servir de base para tomar decisiones correctivas, o para aprovechar oportunidades y fortalezas detectadas del comportamiento de la Hacienda Pública/Patrimonio.</w:t>
      </w:r>
    </w:p>
    <w:p w:rsidR="00BC526B" w:rsidRDefault="00BC526B" w:rsidP="00793CDA">
      <w:pPr>
        <w:jc w:val="both"/>
      </w:pPr>
    </w:p>
    <w:p w:rsidR="00793CDA" w:rsidRPr="00BC526B" w:rsidRDefault="00BC526B" w:rsidP="00793CDA">
      <w:pPr>
        <w:jc w:val="both"/>
        <w:rPr>
          <w:i/>
          <w:iCs/>
        </w:rPr>
      </w:pPr>
      <w:r w:rsidRPr="00BC526B">
        <w:rPr>
          <w:i/>
          <w:iCs/>
        </w:rPr>
        <w:t>“</w:t>
      </w:r>
      <w:r w:rsidR="00793CDA" w:rsidRPr="00BC526B">
        <w:rPr>
          <w:i/>
          <w:iCs/>
        </w:rPr>
        <w:t>Para elaborar el Estado de Variaciones en la Hacienda Pública/Patrimonio, se utiliza el Estado de Actividades y el Estado de Situación Financiera, con corte en dos fechas, de modo que se puede determinar la respectiva variación. Este Estado debe abarcar las variaciones entre las fechas de inicio y cierre del período, aunque para efectos de análisis puede trabajarse con un lapso mayor.</w:t>
      </w:r>
      <w:r w:rsidRPr="00BC526B">
        <w:rPr>
          <w:i/>
          <w:iCs/>
        </w:rPr>
        <w:t xml:space="preserve"> </w:t>
      </w:r>
      <w:r w:rsidR="00793CDA" w:rsidRPr="00BC526B">
        <w:rPr>
          <w:i/>
          <w:iCs/>
        </w:rPr>
        <w:t>El presente estado debe ser analizado en conjunto con sus notas particulares, con el fin de obtener información relevante sobre el mismo que no surge de su estructura.</w:t>
      </w:r>
      <w:r w:rsidRPr="00BC526B">
        <w:rPr>
          <w:i/>
          <w:iCs/>
        </w:rPr>
        <w:t>”</w:t>
      </w:r>
      <w:r>
        <w:rPr>
          <w:i/>
          <w:iCs/>
        </w:rPr>
        <w:t xml:space="preserve"> (Guía técnica 8)</w:t>
      </w:r>
    </w:p>
    <w:p w:rsidR="00793CDA" w:rsidRDefault="00793CDA" w:rsidP="00793CDA">
      <w:pPr>
        <w:jc w:val="both"/>
      </w:pPr>
    </w:p>
    <w:p w:rsidR="00BC526B" w:rsidRDefault="00BC526B" w:rsidP="00793CDA">
      <w:pPr>
        <w:jc w:val="both"/>
      </w:pPr>
      <w:r>
        <w:t>A continuación, se muestra un ejemplo que describe la forma en como se presenta dicho estado financiero:</w:t>
      </w:r>
    </w:p>
    <w:p w:rsidR="00793CDA" w:rsidRDefault="00793CDA" w:rsidP="00793CDA">
      <w:pPr>
        <w:jc w:val="both"/>
      </w:pPr>
      <w:r w:rsidRPr="00793CDA">
        <w:lastRenderedPageBreak/>
        <w:drawing>
          <wp:inline distT="0" distB="0" distL="0" distR="0" wp14:anchorId="4A5DD17F" wp14:editId="4FE79E8E">
            <wp:extent cx="5612130" cy="401891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35" w:rsidRDefault="001F2F35" w:rsidP="00793CDA">
      <w:pPr>
        <w:jc w:val="both"/>
        <w:rPr>
          <w:b/>
          <w:bCs/>
        </w:rPr>
      </w:pPr>
    </w:p>
    <w:p w:rsidR="007641B1" w:rsidRDefault="00793CDA" w:rsidP="00793CDA">
      <w:pPr>
        <w:jc w:val="both"/>
        <w:rPr>
          <w:b/>
          <w:bCs/>
        </w:rPr>
      </w:pPr>
      <w:r w:rsidRPr="00793CDA">
        <w:rPr>
          <w:b/>
          <w:bCs/>
        </w:rPr>
        <w:t>Un ejemplo de la cuenta pública municipal (describe qué es, qué contiene y qué criterios se deben seguir para su elaboración).</w:t>
      </w:r>
    </w:p>
    <w:p w:rsidR="001F2F35" w:rsidRDefault="001F2F35" w:rsidP="00793CDA">
      <w:pPr>
        <w:jc w:val="both"/>
        <w:rPr>
          <w:b/>
          <w:bCs/>
        </w:rPr>
      </w:pPr>
    </w:p>
    <w:p w:rsidR="001F2F35" w:rsidRDefault="001F2F35" w:rsidP="001F2F35">
      <w:pPr>
        <w:jc w:val="both"/>
      </w:pPr>
      <w:r>
        <w:t>La cuenta pública municipal es</w:t>
      </w:r>
      <w:r w:rsidR="00BC526B">
        <w:t xml:space="preserve"> un</w:t>
      </w:r>
      <w:r>
        <w:t xml:space="preserve"> documento mediante el cual el ayuntamiento cumple con la obligación constitucional de someter a las legislaturas locales los resultados habidos en el ejercicio presupuestario, con relación a los ingresos y gastos públicos, y el detalle sobre el uso y aprovechamiento de los bienes patrimoniales.</w:t>
      </w:r>
    </w:p>
    <w:p w:rsidR="001F2F35" w:rsidRDefault="001F2F35" w:rsidP="001F2F35">
      <w:pPr>
        <w:jc w:val="both"/>
      </w:pPr>
    </w:p>
    <w:p w:rsidR="001F2F35" w:rsidRDefault="001F2F35" w:rsidP="001F2F35">
      <w:pPr>
        <w:jc w:val="both"/>
      </w:pPr>
      <w:r>
        <w:t>La cuenta pública representa una evaluación financiera de todas las acciones del gobierno municipal y permite determinar el grado de aplicación de la Ley de Ingresos Municipales y del Presupuesto de Egresos.</w:t>
      </w:r>
    </w:p>
    <w:p w:rsidR="001F2F35" w:rsidRDefault="001F2F35" w:rsidP="001F2F35">
      <w:pPr>
        <w:jc w:val="both"/>
      </w:pPr>
    </w:p>
    <w:p w:rsidR="001F2F35" w:rsidRDefault="00BC526B" w:rsidP="001F2F35">
      <w:pPr>
        <w:jc w:val="both"/>
      </w:pPr>
      <w:r>
        <w:t>Dicha cuenta</w:t>
      </w:r>
      <w:r w:rsidR="001F2F35">
        <w:t xml:space="preserve"> se rinde en forma parcial cada mes y al final del ejercicio fiscal se presentan los resultados obtenidos durante el año correspondiente.</w:t>
      </w:r>
      <w:r>
        <w:t xml:space="preserve"> Además, </w:t>
      </w:r>
      <w:r w:rsidR="001F2F35">
        <w:t>se debe elaborar de acuerdo a los requisitos, formas y procedimientos que señale la Constitución Política del Estado, la Ley Orgánica Municipal y la Ley de Hacienda Municipal.</w:t>
      </w:r>
    </w:p>
    <w:p w:rsidR="001F2F35" w:rsidRDefault="001F2F35" w:rsidP="001F2F35">
      <w:pPr>
        <w:jc w:val="both"/>
      </w:pPr>
    </w:p>
    <w:p w:rsidR="00BC526B" w:rsidRDefault="001F2F35" w:rsidP="001F2F35">
      <w:pPr>
        <w:jc w:val="both"/>
      </w:pPr>
      <w:r>
        <w:t xml:space="preserve">La tesorería municipal es el órgano administrativo encargado de elaborar el documento de la cuenta pública y el síndico es el responsable de su revisión. </w:t>
      </w:r>
      <w:r w:rsidR="00BC526B">
        <w:t xml:space="preserve"> A continuación, un ejemplo de una Cuenta Pública de un Municipio del Estado de Nuevo León.</w:t>
      </w:r>
    </w:p>
    <w:p w:rsidR="001F2F35" w:rsidRDefault="001F2F35" w:rsidP="001F2F35">
      <w:pPr>
        <w:jc w:val="both"/>
      </w:pPr>
      <w:r w:rsidRPr="001F2F35">
        <w:lastRenderedPageBreak/>
        <w:drawing>
          <wp:inline distT="0" distB="0" distL="0" distR="0" wp14:anchorId="117BB8A2" wp14:editId="0AF91E2D">
            <wp:extent cx="4437845" cy="3706238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4903" cy="371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35" w:rsidRDefault="001F2F35" w:rsidP="001F2F35">
      <w:pPr>
        <w:jc w:val="both"/>
      </w:pPr>
    </w:p>
    <w:p w:rsidR="001F2F35" w:rsidRDefault="001F2F35" w:rsidP="001F2F35">
      <w:pPr>
        <w:jc w:val="both"/>
      </w:pPr>
      <w:r w:rsidRPr="001F2F35">
        <w:drawing>
          <wp:inline distT="0" distB="0" distL="0" distR="0" wp14:anchorId="130C4470" wp14:editId="6D919F50">
            <wp:extent cx="3936986" cy="3287949"/>
            <wp:effectExtent l="0" t="0" r="635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5549" cy="329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35" w:rsidRDefault="001F2F35" w:rsidP="001F2F35">
      <w:pPr>
        <w:jc w:val="both"/>
      </w:pPr>
    </w:p>
    <w:p w:rsidR="001F2F35" w:rsidRDefault="001F2F35" w:rsidP="001F2F35">
      <w:pPr>
        <w:jc w:val="both"/>
      </w:pPr>
    </w:p>
    <w:p w:rsidR="00BC526B" w:rsidRDefault="00BC526B" w:rsidP="001F2F35">
      <w:pPr>
        <w:jc w:val="both"/>
      </w:pPr>
    </w:p>
    <w:p w:rsidR="00BC526B" w:rsidRDefault="00BC526B" w:rsidP="001F2F35">
      <w:pPr>
        <w:jc w:val="both"/>
      </w:pPr>
    </w:p>
    <w:p w:rsidR="00BC526B" w:rsidRDefault="00BC526B" w:rsidP="001F2F35">
      <w:pPr>
        <w:jc w:val="both"/>
      </w:pPr>
    </w:p>
    <w:p w:rsidR="001F2F35" w:rsidRPr="00BC526B" w:rsidRDefault="001F2F35" w:rsidP="001F2F35">
      <w:pPr>
        <w:jc w:val="both"/>
        <w:rPr>
          <w:b/>
          <w:bCs/>
        </w:rPr>
      </w:pPr>
      <w:bookmarkStart w:id="0" w:name="_GoBack"/>
      <w:r w:rsidRPr="00BC526B">
        <w:rPr>
          <w:b/>
          <w:bCs/>
        </w:rPr>
        <w:lastRenderedPageBreak/>
        <w:t>Bibliografía</w:t>
      </w:r>
    </w:p>
    <w:bookmarkEnd w:id="0"/>
    <w:p w:rsidR="001F2F35" w:rsidRDefault="001F2F35" w:rsidP="001F2F35">
      <w:pPr>
        <w:jc w:val="both"/>
      </w:pPr>
    </w:p>
    <w:p w:rsidR="001F2F35" w:rsidRDefault="001F2F35" w:rsidP="001F2F35">
      <w:pPr>
        <w:jc w:val="both"/>
      </w:pPr>
      <w:r>
        <w:t xml:space="preserve">Municipio Garcia, Nuevo León (2017). Cuenta municipal. Disponible en: </w:t>
      </w:r>
      <w:hyperlink r:id="rId8" w:history="1">
        <w:r w:rsidRPr="005F5EF2">
          <w:rPr>
            <w:rStyle w:val="Hipervnculo"/>
          </w:rPr>
          <w:t>http://trans.garcia.gob.mx/admin/uploads/Cuenta%20Pública%202017.pdf</w:t>
        </w:r>
      </w:hyperlink>
    </w:p>
    <w:p w:rsidR="001F2F35" w:rsidRDefault="001F2F35" w:rsidP="001F2F35">
      <w:pPr>
        <w:jc w:val="both"/>
      </w:pPr>
    </w:p>
    <w:p w:rsidR="001F2F35" w:rsidRPr="001F2F35" w:rsidRDefault="00BC526B" w:rsidP="001F2F35">
      <w:pPr>
        <w:jc w:val="both"/>
      </w:pPr>
      <w:r w:rsidRPr="00BC526B">
        <w:t>Instituto Nacional para el Federalismo y el Desarrollo Municipal</w:t>
      </w:r>
      <w:r>
        <w:t xml:space="preserve"> (2018). Guía Técnica. La contabilidad y la Cuenta Pública Municipal</w:t>
      </w:r>
    </w:p>
    <w:sectPr w:rsidR="001F2F35" w:rsidRPr="001F2F35" w:rsidSect="00152BA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E51368"/>
    <w:multiLevelType w:val="hybridMultilevel"/>
    <w:tmpl w:val="4E707D3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D322AB"/>
    <w:multiLevelType w:val="hybridMultilevel"/>
    <w:tmpl w:val="610C65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5A6BAA"/>
    <w:multiLevelType w:val="hybridMultilevel"/>
    <w:tmpl w:val="CCC076B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061C80"/>
    <w:multiLevelType w:val="hybridMultilevel"/>
    <w:tmpl w:val="DFBCCF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CDA"/>
    <w:rsid w:val="00152BAD"/>
    <w:rsid w:val="001F2F35"/>
    <w:rsid w:val="004E1314"/>
    <w:rsid w:val="005F70F8"/>
    <w:rsid w:val="007641B1"/>
    <w:rsid w:val="00793CDA"/>
    <w:rsid w:val="00BC5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72E40"/>
  <w15:chartTrackingRefBased/>
  <w15:docId w15:val="{19EDA997-8085-DA4A-9119-180AD6E6C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93CD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F2F3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F2F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66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4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85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56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53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94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1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39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113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6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41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2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61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88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88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7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85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1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2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74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3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40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44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534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412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3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1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16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rans.garcia.gob.mx/admin/uploads/Cuenta%20P&#250;blica%202017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577</Words>
  <Characters>3175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ANTONIO VILLARREAL CARRANZA</dc:creator>
  <cp:keywords/>
  <dc:description/>
  <cp:lastModifiedBy>EMMANUEL ANTONIO VILLARREAL CARRANZA</cp:lastModifiedBy>
  <cp:revision>1</cp:revision>
  <dcterms:created xsi:type="dcterms:W3CDTF">2020-07-17T05:02:00Z</dcterms:created>
  <dcterms:modified xsi:type="dcterms:W3CDTF">2020-07-17T05:28:00Z</dcterms:modified>
</cp:coreProperties>
</file>