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15398"/>
      </w:tblGrid>
      <w:tr>
        <w:trPr>
          <w:trHeight w:val="1000" w:hRule="exact"/>
        </w:trPr>
        <w:tc>
          <w:tcPr>
            <w:tcW w:type="dxa" w:w="15398"/>
            <w:tcBorders>
              <w:top w:val="none" w:color="auto" w:sz="0"/>
              <w:left w:val="none" w:color="auto" w:sz="0"/>
              <w:bottom w:val="none" w:color="auto" w:sz="0"/>
              <w:right w:val="none" w:color="auto" w:sz="0"/>
            </w:tcBorders>
            <w:vAlign w:val="center"/>
          </w:tcPr>
          <w:p/>
        </w:tc>
      </w:tr>
      <w:tr>
        <w:trPr>
          <w:trHeight w:val="2300" w:hRule="exact"/>
        </w:trPr>
        <w:tc>
          <w:tcPr>
            <w:tcW w:type="dxa" w:w="15398"/>
            <w:tcBorders>
              <w:top w:val="none" w:color="auto" w:sz="0"/>
              <w:left w:val="none" w:color="auto" w:sz="0"/>
              <w:bottom w:val="none" w:color="auto" w:sz="0"/>
              <w:right w:val="none" w:color="auto" w:sz="0"/>
            </w:tcBorders>
            <w:vAlign w:val="center"/>
          </w:tcPr>
          <w:p>
            <w:pPr>
              <w:spacing w:after="120"/>
              <w:jc w:val="center"/>
            </w:pPr>
            <w:r>
              <w:rPr>
                <w:rFonts w:ascii="Pretendard" w:cs="Pretendard" w:eastAsia="Pretendard" w:hAnsi="Pretendard" w:hint="eastAsia"/>
                <w:b/>
                <w:bCs/>
                <w:color w:val="000000"/>
                <w:sz w:val="64"/>
                <w:szCs w:val="64"/>
                <w:lang w:val="ko-KR" w:eastAsia="ko-KR"/>
              </w:rPr>
              <w:t xml:space="preserve">CLEVER DSV</w:t>
            </w:r>
          </w:p>
          <w:p>
            <w:pPr>
              <w:jc w:val="center"/>
            </w:pPr>
            <w:r>
              <w:rPr>
                <w:rFonts w:ascii="Pretendard" w:cs="Pretendard" w:eastAsia="Pretendard" w:hAnsi="Pretendard" w:hint="eastAsia"/>
                <w:b/>
                <w:bCs/>
                <w:color w:val="000000"/>
                <w:sz w:val="44"/>
                <w:szCs w:val="44"/>
                <w:lang w:val="ko-KR" w:eastAsia="ko-KR"/>
              </w:rPr>
              <w:t xml:space="preserve">[사용자 가이드 / User Guide]</w:t>
            </w:r>
          </w:p>
        </w:tc>
      </w:tr>
      <w:tr>
        <w:trPr>
          <w:trHeight w:val="900" w:hRule="exact"/>
        </w:trPr>
        <w:tc>
          <w:tcPr>
            <w:tcW w:type="dxa" w:w="15398"/>
            <w:tcBorders>
              <w:top w:val="none" w:color="auto" w:sz="0"/>
              <w:left w:val="none" w:color="auto" w:sz="0"/>
              <w:bottom w:val="none" w:color="auto" w:sz="0"/>
              <w:right w:val="none" w:color="auto" w:sz="0"/>
            </w:tcBorders>
            <w:vAlign w:val="center"/>
          </w:tcPr>
          <w:p/>
        </w:tc>
      </w:tr>
      <w:tr>
        <w:trPr>
          <w:trHeight w:val="1800" w:hRule="exact"/>
        </w:trPr>
        <w:tc>
          <w:tcPr>
            <w:tcW w:type="dxa" w:w="15398"/>
            <w:tcBorders>
              <w:top w:val="none" w:color="auto" w:sz="0"/>
              <w:left w:val="none" w:color="auto" w:sz="0"/>
              <w:bottom w:val="none" w:color="auto" w:sz="0"/>
              <w:right w:val="none" w:color="auto" w:sz="0"/>
            </w:tcBorders>
            <w:vAlign w:val="center"/>
          </w:tcPr>
          <w:tbl>
            <w:tblPr>
              <w:tblW w:type="dxa" w:w="6000"/>
              <w:jc w:val="center"/>
              <w:tblBorders>
                <w:top w:val="single" w:color="B8B8B8" w:sz="1"/>
                <w:left w:val="single" w:color="B8B8B8" w:sz="1"/>
                <w:bottom w:val="single" w:color="B8B8B8" w:sz="1"/>
                <w:right w:val="single" w:color="B8B8B8" w:sz="1"/>
                <w:insideH w:val="single" w:color="B8B8B8" w:sz="1"/>
                <w:insideV w:val="single" w:color="B8B8B8" w:sz="1"/>
              </w:tblBorders>
            </w:tblPr>
            <w:tblGrid>
              <w:gridCol w:w="2200"/>
              <w:gridCol w:w="3800"/>
            </w:tblGrid>
            <w:tr>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문서 번호</w:t>
                  </w:r>
                </w:p>
              </w:tc>
              <w:tc>
                <w:tcPr>
                  <w:tcW w:type="dxa" w:w="3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EVN-UG-2026-1.0-0001</w:t>
                  </w:r>
                </w:p>
              </w:tc>
            </w:tr>
            <w:tr>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개정 번호</w:t>
                  </w:r>
                </w:p>
              </w:tc>
              <w:tc>
                <w:tcPr>
                  <w:tcW w:type="dxa" w:w="3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Rev. 1.2</w:t>
                  </w:r>
                </w:p>
              </w:tc>
            </w:tr>
            <w:tr>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작성일</w:t>
                  </w:r>
                </w:p>
              </w:tc>
              <w:tc>
                <w:tcPr>
                  <w:tcW w:type="dxa" w:w="3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2026. 09. 03.</w:t>
                  </w:r>
                </w:p>
              </w:tc>
            </w:tr>
          </w:tbl>
          <w:p/>
        </w:tc>
      </w:tr>
      <w:tr>
        <w:trPr>
          <w:trHeight w:val="700" w:hRule="exact"/>
        </w:trPr>
        <w:tc>
          <w:tcPr>
            <w:tcW w:type="dxa" w:w="15398"/>
            <w:tcBorders>
              <w:top w:val="none" w:color="auto" w:sz="0"/>
              <w:left w:val="none" w:color="auto" w:sz="0"/>
              <w:bottom w:val="none" w:color="auto" w:sz="0"/>
              <w:right w:val="none" w:color="auto" w:sz="0"/>
            </w:tcBorders>
            <w:vAlign w:val="center"/>
          </w:tcPr>
          <w:p/>
        </w:tc>
      </w:tr>
      <w:tr>
        <w:trPr>
          <w:trHeight w:val="900" w:hRule="exact"/>
        </w:trPr>
        <w:tc>
          <w:tcPr>
            <w:tcW w:type="dxa" w:w="15398"/>
            <w:tcBorders>
              <w:top w:val="none" w:color="auto" w:sz="0"/>
              <w:left w:val="none" w:color="auto" w:sz="0"/>
              <w:bottom w:val="none" w:color="auto" w:sz="0"/>
              <w:right w:val="none" w:color="auto" w:sz="0"/>
            </w:tcBorders>
            <w:vAlign w:val="center"/>
          </w:tcPr>
          <w:p>
            <w:pPr>
              <w:jc w:val="center"/>
            </w:pPr>
            <w:r>
              <w:drawing>
                <wp:inline distT="0" distB="0" distL="0" distR="0">
                  <wp:extent cx="1533525" cy="571500"/>
                  <wp:effectExtent t="0" r="0" b="0" l="0"/>
                  <wp:docPr id="1" name="EV&amp;Solution 로고" descr="이브이앤솔루션 회사 로고" title="EV&amp;Solution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33525" cy="571500"/>
                          </a:xfrm>
                          <a:prstGeom prst="rect">
                            <a:avLst/>
                          </a:prstGeom>
                        </pic:spPr>
                      </pic:pic>
                    </a:graphicData>
                  </a:graphic>
                </wp:inline>
              </w:drawing>
            </w:r>
          </w:p>
        </w:tc>
      </w:tr>
      <w:tr>
        <w:trPr>
          <w:trHeight w:val="1200" w:hRule="exact"/>
        </w:trPr>
        <w:tc>
          <w:tcPr>
            <w:tcW w:type="dxa" w:w="15398"/>
            <w:tcBorders>
              <w:top w:val="none" w:color="auto" w:sz="0"/>
              <w:left w:val="none" w:color="auto" w:sz="0"/>
              <w:bottom w:val="none" w:color="auto" w:sz="0"/>
              <w:right w:val="none" w:color="auto" w:sz="0"/>
            </w:tcBorders>
            <w:vAlign w:val="center"/>
          </w:tcPr>
          <w:p>
            <w:pPr>
              <w:jc w:val="center"/>
            </w:pPr>
            <w:r>
              <w:rPr>
                <w:rFonts w:ascii="Pretendard" w:cs="Pretendard" w:eastAsia="Pretendard" w:hAnsi="Pretendard" w:hint="eastAsia"/>
                <w:b w:val="false"/>
                <w:bCs w:val="false"/>
                <w:color w:val="000000"/>
                <w:sz w:val="28"/>
                <w:szCs w:val="28"/>
                <w:lang w:val="ko-KR" w:eastAsia="ko-KR"/>
              </w:rPr>
              <w:t xml:space="preserve">이브이앤솔루션 주식회사</w:t>
            </w:r>
          </w:p>
          <w:p>
            <w:pPr>
              <w:jc w:val="center"/>
            </w:pPr>
            <w:r>
              <w:rPr>
                <w:rFonts w:ascii="Pretendard" w:cs="Pretendard" w:eastAsia="Pretendard" w:hAnsi="Pretendard" w:hint="eastAsia"/>
                <w:b w:val="false"/>
                <w:bCs w:val="false"/>
                <w:color w:val="000000"/>
                <w:sz w:val="24"/>
                <w:szCs w:val="24"/>
                <w:lang w:val="ko-KR" w:eastAsia="ko-KR"/>
              </w:rPr>
              <w:t xml:space="preserve">EV&amp;Solution Co., Ltd.</w:t>
            </w:r>
          </w:p>
        </w:tc>
      </w:tr>
    </w:tbl>
    <w:p>
      <w:r>
        <w:br w:type="page"/>
      </w:r>
    </w:p>
    <w:p>
      <w:pPr>
        <w:pStyle w:val="Heading1"/>
      </w:pPr>
      <w:r>
        <w:rPr>
          <w:rFonts w:ascii="Pretendard" w:cs="Pretendard" w:eastAsia="Pretendard" w:hAnsi="Pretendard" w:hint="eastAsia"/>
          <w:b/>
          <w:bCs/>
          <w:color w:val="000000"/>
          <w:sz w:val="32"/>
          <w:szCs w:val="32"/>
          <w:lang w:val="ko-KR" w:eastAsia="ko-KR"/>
        </w:rPr>
        <w:t xml:space="preserve">Release Note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9798"/>
      </w:tblGrid>
      <w:tr>
        <w:trPr>
          <w:tblHeader/>
        </w:trPr>
        <w:tc>
          <w:tcPr>
            <w:tcW w:type="dxa" w:w="16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개정</w:t>
            </w:r>
          </w:p>
        </w:tc>
        <w:tc>
          <w:tcPr>
            <w:tcW w:type="dxa" w:w="18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작성일</w:t>
            </w:r>
          </w:p>
        </w:tc>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작성자</w:t>
            </w:r>
          </w:p>
        </w:tc>
        <w:tc>
          <w:tcPr>
            <w:tcW w:type="dxa" w:w="9798"/>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변경 내용</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1.0</w:t>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2026. 08. 11.</w:t>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EV&amp;Solution</w:t>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CLEVER DSV 관제 운영자 사용자 가이드 최초 발행</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1.1</w:t>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2026. 09. 03.</w:t>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EV&amp;Solution</w:t>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배송원 앱 설치를 공개 설치 페이지와 직접 회원가입 절차로 갱신</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1.2</w:t>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2026. 09. 03.</w:t>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EV&amp;Solution</w:t>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단일 온도, 차량 자취, 배차 삭제와 현재 설정 화면을 반영</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r>
    </w:tbl>
    <w:p>
      <w:r>
        <w:br w:type="page"/>
      </w:r>
    </w:p>
    <w:p>
      <w:pPr>
        <w:pStyle w:val="Heading1"/>
      </w:pPr>
      <w:r>
        <w:rPr>
          <w:rFonts w:ascii="Pretendard" w:cs="Pretendard" w:eastAsia="Pretendard" w:hAnsi="Pretendard" w:hint="eastAsia"/>
          <w:b/>
          <w:bCs/>
          <w:color w:val="000000"/>
          <w:sz w:val="32"/>
          <w:szCs w:val="32"/>
          <w:lang w:val="ko-KR" w:eastAsia="ko-KR"/>
        </w:rPr>
        <w:t xml:space="preserve">저작권 고지 / Copyright Notice</w:t>
      </w:r>
    </w:p>
    <w:p>
      <w:pPr>
        <w:keepNext w:val="false"/>
        <w:spacing w:after="260" w:before="0" w:line="320"/>
        <w:jc w:val="left"/>
      </w:pPr>
      <w:r>
        <w:rPr>
          <w:rFonts w:ascii="Pretendard" w:cs="Pretendard" w:eastAsia="Pretendard" w:hAnsi="Pretendard" w:hint="eastAsia"/>
          <w:b w:val="false"/>
          <w:bCs w:val="false"/>
          <w:color w:val="000000"/>
          <w:sz w:val="24"/>
          <w:szCs w:val="24"/>
          <w:lang w:val="ko-KR" w:eastAsia="ko-KR"/>
        </w:rPr>
        <w:t xml:space="preserve">본 문서의 저작권 및 모든 권리는 이브이앤솔루션 주식회사에 있으며, 사전 동의 없이 문서의 내용 전체 또는 일부를 수정, 복제, 배포, 또는 기타 목적으로 사용하는 것을 금지합니다. 본 문서는 협력사 내부 용도로만 사용 가능하며, 기타 용도로의 사용은 별도의 서면 동의가 필요합니다.</w:t>
      </w:r>
    </w:p>
    <w:p>
      <w:pPr>
        <w:keepNext w:val="false"/>
        <w:spacing w:after="100" w:before="0" w:line="300"/>
        <w:jc w:val="left"/>
      </w:pPr>
      <w:r>
        <w:rPr>
          <w:rFonts w:ascii="Pretendard" w:cs="Pretendard" w:eastAsia="Pretendard" w:hAnsi="Pretendard" w:hint="eastAsia"/>
          <w:b w:val="false"/>
          <w:bCs w:val="false"/>
          <w:color w:val="000000"/>
          <w:sz w:val="22"/>
          <w:szCs w:val="22"/>
          <w:lang w:val="ko-KR" w:eastAsia="ko-KR"/>
        </w:rPr>
        <w:t xml:space="preserve">Copyright and all rights to this document are owned by EV&amp;Solution Co., Ltd. No part of this document may be modified, reproduced, distributed, or used for any other purpose without prior written consent. This document is intended solely for internal use by authorized partners.</w:t>
      </w:r>
    </w:p>
    <w:p>
      <w:pPr>
        <w:sectPr>
          <w:type w:val="nextPage"/>
          <w:pgSz w:w="16838" w:h="11906" w:orient="landscape"/>
          <w:pgMar w:top="720" w:right="720" w:bottom="720" w:left="720" w:header="500" w:footer="500" w:gutter="0"/>
          <w:pgNumType/>
          <w:docGrid w:linePitch="360"/>
        </w:sectPr>
      </w:pPr>
    </w:p>
    <w:p>
      <w:pPr>
        <w:pStyle w:val="Heading1"/>
      </w:pPr>
      <w:r>
        <w:rPr>
          <w:rFonts w:ascii="Pretendard" w:cs="Pretendard" w:eastAsia="Pretendard" w:hAnsi="Pretendard" w:hint="eastAsia"/>
          <w:b/>
          <w:bCs/>
          <w:color w:val="000000"/>
          <w:sz w:val="32"/>
          <w:szCs w:val="32"/>
          <w:lang w:val="ko-KR" w:eastAsia="ko-KR"/>
        </w:rPr>
        <w:t xml:space="preserve">목차 / Table of Contents</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13000"/>
        <w:gridCol w:w="2398"/>
      </w:tblGrid>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1. 계정 시작</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1-3</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2. 관제</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4-11</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3. 배차</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12-23</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4. 이력</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24-27</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5. 운송자원</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28-33</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6. 고객사</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34-39</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7. 운송조건</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40-41</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8. 설정</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42-47</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9. 고객 배송조회</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48-52</w:t>
            </w:r>
          </w:p>
        </w:tc>
      </w:tr>
    </w:tbl>
    <w:p>
      <w:r>
        <w:br w:type="page"/>
      </w:r>
    </w:p>
    <w:p>
      <w:pPr>
        <w:pStyle w:val="Heading1"/>
      </w:pPr>
      <w:r>
        <w:rPr>
          <w:rFonts w:ascii="Pretendard" w:cs="Pretendard" w:eastAsia="Pretendard" w:hAnsi="Pretendard" w:hint="eastAsia"/>
          <w:b/>
          <w:bCs/>
          <w:color w:val="000000"/>
          <w:sz w:val="32"/>
          <w:szCs w:val="32"/>
          <w:lang w:val="ko-KR" w:eastAsia="ko-KR"/>
        </w:rPr>
        <w:t xml:space="preserve">기능 구성</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9998"/>
        <w:gridCol w:w="2000"/>
      </w:tblGrid>
      <w:tr>
        <w:trPr>
          <w:tblHeader/>
        </w:trPr>
        <w:tc>
          <w:tcPr>
            <w:tcW w:type="dxa" w:w="9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번호</w:t>
            </w:r>
          </w:p>
        </w:tc>
        <w:tc>
          <w:tcPr>
            <w:tcW w:type="dxa" w:w="25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구분</w:t>
            </w:r>
          </w:p>
        </w:tc>
        <w:tc>
          <w:tcPr>
            <w:tcW w:type="dxa" w:w="9998"/>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주요 기능</w:t>
            </w:r>
          </w:p>
        </w:tc>
        <w:tc>
          <w:tcPr>
            <w:tcW w:type="dxa" w:w="20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본문</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계정 시작</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계정 초대, 계정 활성화, 관리자 로그인</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1-3</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관제</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기준일, 차량, 자취, 배송지, 온도, 상태 알림</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4-11</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3</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배차</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조회, 선택, 배정, 삭제, 검색, 파일 업로드, 0박스 주의</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12-23</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이력</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배송 이력, 날짜, 상세, 이벤트</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24-27</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5</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운송자원</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배송원, 앱 설치, 회원가입, 차량</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28-33</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6</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고객사</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고객사, 배송지, 고객 계정, 초대 이메일</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34-39</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7</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운송조건</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운송조건 조회와 편집</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40-41</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8</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설정</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출발 위치, 운영 기준, 이메일, 계정</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42-47</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9</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고객 배송조회</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위치, 검색, 상세, 로그인, 초대 오류</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48-52</w:t>
            </w:r>
          </w:p>
        </w:tc>
      </w:tr>
    </w:tbl>
    <w:p>
      <w:pPr>
        <w:sectPr>
          <w:headerReference w:type="default" r:id="rId7"/>
          <w:footerReference w:type="default" r:id="rId8"/>
          <w:type w:val="nextPage"/>
          <w:pgSz w:w="16838" w:h="11906" w:orient="landscape"/>
          <w:pgMar w:top="720" w:right="720" w:bottom="720" w:left="720" w:header="500" w:footer="500" w:gutter="0"/>
          <w:pgNumType/>
          <w:docGrid w:linePitch="360"/>
        </w:sectPr>
      </w:pPr>
    </w:p>
    <w:p>
      <w:pPr>
        <w:pStyle w:val="Heading1"/>
        <w:spacing w:after="20" w:before="0"/>
      </w:pPr>
      <w:r>
        <w:rPr>
          <w:rFonts w:ascii="Pretendard" w:cs="Pretendard" w:eastAsia="Pretendard" w:hAnsi="Pretendard" w:hint="eastAsia"/>
          <w:b/>
          <w:bCs/>
          <w:color w:val="000000"/>
          <w:sz w:val="20"/>
          <w:szCs w:val="20"/>
          <w:lang w:val="ko-KR" w:eastAsia="ko-KR"/>
        </w:rPr>
        <w:t xml:space="preserve">1. 계정 시작</w:t>
      </w:r>
    </w:p>
    <w:p>
      <w:pPr>
        <w:pStyle w:val="Heading2"/>
        <w:spacing w:after="90" w:before="0"/>
      </w:pPr>
      <w:r>
        <w:rPr>
          <w:rFonts w:ascii="Pretendard" w:cs="Pretendard" w:eastAsia="Pretendard" w:hAnsi="Pretendard" w:hint="eastAsia"/>
          <w:b/>
          <w:bCs/>
          <w:color w:val="000000"/>
          <w:sz w:val="30"/>
          <w:szCs w:val="30"/>
          <w:lang w:val="ko-KR" w:eastAsia="ko-KR"/>
        </w:rPr>
        <w:t xml:space="preserve">1.1 계정 초대 확인</w:t>
      </w:r>
    </w:p>
    <w:p>
      <w:pPr>
        <w:keepNext/>
        <w:spacing w:after="110" w:before="0"/>
        <w:jc w:val="center"/>
      </w:pPr>
      <w:r>
        <w:drawing>
          <wp:inline distT="0" distB="0" distL="0" distR="0">
            <wp:extent cx="8810625" cy="4048125"/>
            <wp:effectExtent t="0" r="0" b="0" l="0"/>
            <wp:docPr id="1" name="1.1 계정 초대 확인" descr="1.1 계정 초대 확인 화면" title="1.1 계정 초대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메일 제목과 발신 도메인이 CLEVER DSV 공식 안내와 일치하는지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수신자 본인이 요청한 초대인지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48시간 이내에 일회용 링크를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링크는 한 번만 사용할 수 있으므로 설정을 완료할 준비가 된 상태에서 접속합니다.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의심스러운 발신자, 예상하지 못한 첨부파일 또는 다른 도메인의 링크는 열지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1.2 계정 활성화</w:t>
      </w:r>
    </w:p>
    <w:p>
      <w:pPr>
        <w:keepNext/>
        <w:spacing w:after="110" w:before="0"/>
        <w:jc w:val="center"/>
      </w:pPr>
      <w:r>
        <w:drawing>
          <wp:inline distT="0" distB="0" distL="0" distR="0">
            <wp:extent cx="8810625" cy="4048125"/>
            <wp:effectExtent t="0" r="0" b="0" l="0"/>
            <wp:docPr id="1" name="1.2 계정 활성화" descr="1.2 계정 활성화 화면" title="1.2 계정 활성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표시된 계정 범위가 DSV 관제 운영 계정인지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본인이 사용할 로그인 ID를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영문 대문자, 소문자, 숫자, 특수문자를 포함한 새 비밀번호를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비밀번호 확인 후 계정 설정을 완료합니다.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초대 링크가 만료되었거나 이미 사용되었다면 개발 관리자에게 재발급을 요청합니다.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1.3 관제 운영 계정 로그인</w:t>
      </w:r>
    </w:p>
    <w:p>
      <w:pPr>
        <w:keepNext/>
        <w:spacing w:after="110" w:before="0"/>
        <w:jc w:val="center"/>
      </w:pPr>
      <w:r>
        <w:drawing>
          <wp:inline distT="0" distB="0" distL="0" distR="0">
            <wp:extent cx="8810625" cy="4048125"/>
            <wp:effectExtent t="0" r="0" b="0" l="0"/>
            <wp:docPr id="1" name="1.3 관제 운영 계정 로그인" descr="1.3 관제 운영 계정 로그인 화면" title="1.3 관제 운영 계정 로그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브라우저에서 dsv.cleversystem.ai/login에 접속합니다.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설정한 로그인 ID와 비밀번호를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버튼을 눌러 관제 화면으로 이동합니다.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공용 PC에서는 브라우저의 비밀번호 저장 기능을 사용하지 않습니다.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아이디와 비밀번호를 공유하지 말고, 최초 로그인 후 본인만 아는 값으로 관리합니다.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2. 관제</w:t>
      </w:r>
    </w:p>
    <w:p>
      <w:pPr>
        <w:pStyle w:val="Heading2"/>
        <w:spacing w:after="90" w:before="0"/>
      </w:pPr>
      <w:r>
        <w:rPr>
          <w:rFonts w:ascii="Pretendard" w:cs="Pretendard" w:eastAsia="Pretendard" w:hAnsi="Pretendard" w:hint="eastAsia"/>
          <w:b/>
          <w:bCs/>
          <w:color w:val="000000"/>
          <w:sz w:val="30"/>
          <w:szCs w:val="30"/>
          <w:lang w:val="ko-KR" w:eastAsia="ko-KR"/>
        </w:rPr>
        <w:t xml:space="preserve">2.1 관제 화면</w:t>
      </w:r>
    </w:p>
    <w:p>
      <w:pPr>
        <w:keepNext/>
        <w:spacing w:after="110" w:before="0"/>
        <w:jc w:val="center"/>
      </w:pPr>
      <w:r>
        <w:drawing>
          <wp:inline distT="0" distB="0" distL="0" distR="0">
            <wp:extent cx="6477000" cy="4048125"/>
            <wp:effectExtent t="0" r="0" b="0" l="0"/>
            <wp:docPr id="1" name="2.1 관제 화면" descr="2.1 관제 화면 화면" title="2.1 관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관제 기준일과 전체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 리스트에서 배정 주문 수와 차량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지도에서 차량 위치와 이동 경로를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고객사별 주문 영역에서 고객사 조회 화면으로 이동할 수 있습니다.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2.2 관제 조회 기준일</w:t>
      </w:r>
    </w:p>
    <w:p>
      <w:pPr>
        <w:keepNext/>
        <w:spacing w:after="110" w:before="0"/>
        <w:jc w:val="center"/>
      </w:pPr>
      <w:r>
        <w:drawing>
          <wp:inline distT="0" distB="0" distL="0" distR="0">
            <wp:extent cx="7200900" cy="4048125"/>
            <wp:effectExtent t="0" r="0" b="0" l="0"/>
            <wp:docPr id="1" name="2.2 관제 조회 기준일" descr="2.2 관제 조회 기준일 화면" title="2.2 관제 조회 기준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관제 기준일 영역을 눌러 달력을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확인할 날짜를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선택한 날짜의 차량과 주문 정보가 다시 조회되는지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오늘 화면으로 돌아올 때는 현재 날짜를 다시 선택합니다.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2.3 관제 차량 목록</w:t>
      </w:r>
    </w:p>
    <w:p>
      <w:pPr>
        <w:keepNext/>
        <w:spacing w:after="110" w:before="0"/>
        <w:jc w:val="center"/>
      </w:pPr>
      <w:r>
        <w:drawing>
          <wp:inline distT="0" distB="0" distL="0" distR="0">
            <wp:extent cx="6477000" cy="4048125"/>
            <wp:effectExtent t="0" r="0" b="0" l="0"/>
            <wp:docPr id="1" name="2.3 관제 차량 목록" descr="2.3 관제 차량 목록 화면" title="2.3 관제 차량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전체와 배정 필터로 차량 표시 범위를 바꿉니다.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차량별 주문 건수와 색상 표식을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차량을 선택하면 지도와 상세 정보가 해당 차량 기준으로 바뀝니다.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온도 버튼을 누르면 차량 온도 기록을 조회합니다.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2.4 관제 차량 상세</w:t>
      </w:r>
    </w:p>
    <w:p>
      <w:pPr>
        <w:keepNext/>
        <w:spacing w:after="110" w:before="0"/>
        <w:jc w:val="center"/>
      </w:pPr>
      <w:r>
        <w:drawing>
          <wp:inline distT="0" distB="0" distL="0" distR="0">
            <wp:extent cx="6477000" cy="4048125"/>
            <wp:effectExtent t="0" r="0" b="0" l="0"/>
            <wp:docPr id="1" name="2.4 관제 차량 상세" descr="2.4 관제 차량 상세 화면" title="2.4 관제 차량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선택한 차량 번호와 운전자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최근 위치와 위치 지연 시간을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운송 정보 영역에서 필요한 연락처와 운영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자세히 보기로 등록된 차량 상세 화면으로 이동합니다.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2.5 차량 자취 보기</w:t>
      </w:r>
    </w:p>
    <w:p>
      <w:pPr>
        <w:keepNext/>
        <w:spacing w:after="110" w:before="0"/>
        <w:jc w:val="center"/>
      </w:pPr>
      <w:r>
        <w:drawing>
          <wp:inline distT="0" distB="0" distL="0" distR="0">
            <wp:extent cx="6477000" cy="4048125"/>
            <wp:effectExtent t="0" r="0" b="0" l="0"/>
            <wp:docPr id="1" name="2.5 차량 자취 보기" descr="2.5 차량 자취 보기 화면" title="2.5 차량 자취 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차량 상세에서 자취 보기를 눌러 해당 날짜의 이동 기록을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타임라인은 00:00부터 24:00까지 해당 날짜에 수집된 모든 위치를 표시합니다.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재생 버튼과 시점 막대로 차량 이동을 시간 순서대로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필요하면 차량 따라가기를 사용하고, 확인 후 자취 닫기를 누릅니다.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자취 보기에는 운행 중 위치뿐 아니라 sleep 상태에서 수집된 위치도 함께 표시됩니다.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2.6 관제 배송지 목록</w:t>
      </w:r>
    </w:p>
    <w:p>
      <w:pPr>
        <w:keepNext/>
        <w:spacing w:after="110" w:before="0"/>
        <w:jc w:val="center"/>
      </w:pPr>
      <w:r>
        <w:drawing>
          <wp:inline distT="0" distB="0" distL="0" distR="0">
            <wp:extent cx="6477000" cy="4048125"/>
            <wp:effectExtent t="0" r="0" b="0" l="0"/>
            <wp:docPr id="1" name="2.6 관제 배송지 목록" descr="2.6 관제 배송지 목록 화면" title="2.6 관제 배송지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 차량의 배송지를 예상 도착 순서로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배송지 행의 주문 건수와 총 박스 수를 함께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배송지 행을 누르면 주소와 주문번호별 운송 상태, 박스 수가 펼쳐집니다.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같은 배송지 행을 다시 누르면 상세 정보가 접힙니다.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0박스 주문도 주문번호별 상세에 그대로 표시됩니다.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2.7 관제 온도 조회</w:t>
      </w:r>
    </w:p>
    <w:p>
      <w:pPr>
        <w:keepNext/>
        <w:spacing w:after="110" w:before="0"/>
        <w:jc w:val="center"/>
      </w:pPr>
      <w:r>
        <w:drawing>
          <wp:inline distT="0" distB="0" distL="0" distR="0">
            <wp:extent cx="6477000" cy="4048125"/>
            <wp:effectExtent t="0" r="0" b="0" l="0"/>
            <wp:docPr id="1" name="2.7 관제 온도 조회" descr="2.7 관제 온도 조회 화면" title="2.7 관제 온도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차량의 온도 버튼을 눌러 온도 팝업을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조회 기간과 냉동 배송 위치의 현재 온도를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온도 그래프의 시간대별 변화와 선택한 운송조건의 허용 범위를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온도 누락이나 기준 이탈이 있으면 운영 절차에 따라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온도 기준 이탈은 의약품 운송 품질에 영향을 줄 수 있으므로 즉시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2.8 관제 상태 알림</w:t>
      </w:r>
    </w:p>
    <w:p>
      <w:pPr>
        <w:keepNext/>
        <w:spacing w:after="110" w:before="0"/>
        <w:jc w:val="center"/>
      </w:pPr>
      <w:r>
        <w:drawing>
          <wp:inline distT="0" distB="0" distL="0" distR="0">
            <wp:extent cx="7200900" cy="4048125"/>
            <wp:effectExtent t="0" r="0" b="0" l="0"/>
            <wp:docPr id="1" name="2.8 관제 상태 알림" descr="2.8 관제 상태 알림 화면" title="2.8 관제 상태 알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알림 버튼을 눌러 최신 관제 알림을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지연, GPS 미수신, 증빙 누락 등 알림 유형을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알림의 발생 시각과 관련 차량을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처리가 필요한 항목은 운영 담당자에게 전달합니다.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3. 배차</w:t>
      </w:r>
    </w:p>
    <w:p>
      <w:pPr>
        <w:pStyle w:val="Heading2"/>
        <w:spacing w:after="90" w:before="0"/>
      </w:pPr>
      <w:r>
        <w:rPr>
          <w:rFonts w:ascii="Pretendard" w:cs="Pretendard" w:eastAsia="Pretendard" w:hAnsi="Pretendard" w:hint="eastAsia"/>
          <w:b/>
          <w:bCs/>
          <w:color w:val="000000"/>
          <w:sz w:val="30"/>
          <w:szCs w:val="30"/>
          <w:lang w:val="ko-KR" w:eastAsia="ko-KR"/>
        </w:rPr>
        <w:t xml:space="preserve">3.1 배차 화면</w:t>
      </w:r>
    </w:p>
    <w:p>
      <w:pPr>
        <w:keepNext/>
        <w:spacing w:after="110" w:before="0"/>
        <w:jc w:val="center"/>
      </w:pPr>
      <w:r>
        <w:drawing>
          <wp:inline distT="0" distB="0" distL="0" distR="0">
            <wp:extent cx="6477000" cy="4048125"/>
            <wp:effectExtent t="0" r="0" b="0" l="0"/>
            <wp:docPr id="1" name="3.1 배차 화면" descr="3.1 배차 화면 화면" title="3.1 배차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배차일과 전체, 배정, 미배정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지도, 목록, 고객사 보기 중 작업에 맞는 보기를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상태 필터로 표시할 주문 범위를 좁힙니다.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오른쪽 배송원 목록에서 차량과 배정 건수를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3.2 배차 조회 도구</w:t>
      </w:r>
    </w:p>
    <w:p>
      <w:pPr>
        <w:keepNext/>
        <w:spacing w:after="110" w:before="0"/>
        <w:jc w:val="center"/>
      </w:pPr>
      <w:r>
        <w:drawing>
          <wp:inline distT="0" distB="0" distL="0" distR="0">
            <wp:extent cx="6477000" cy="4048125"/>
            <wp:effectExtent t="0" r="0" b="0" l="0"/>
            <wp:docPr id="1" name="3.2 배차 조회 도구" descr="3.2 배차 조회 도구 화면" title="3.2 배차 조회 도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배차일을 선택해 해당 날짜의 주문을 조회합니다.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전체, 미배정, 배정, 활성, 취소, 완료 상태를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오더번호 또는 배송처를 입력해 검색합니다.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초기화 버튼으로 검색 조건을 해제합니다.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3.3 배차 지도 선택</w:t>
      </w:r>
    </w:p>
    <w:p>
      <w:pPr>
        <w:keepNext/>
        <w:spacing w:after="110" w:before="0"/>
        <w:jc w:val="center"/>
      </w:pPr>
      <w:r>
        <w:drawing>
          <wp:inline distT="0" distB="0" distL="0" distR="0">
            <wp:extent cx="6477000" cy="4048125"/>
            <wp:effectExtent t="0" r="0" b="0" l="0"/>
            <wp:docPr id="1" name="3.3 배차 지도 선택" descr="3.3 배차 지도 선택 화면" title="3.3 배차 지도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영역 선택을 눌러 지도 선택 모드로 전환합니다.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지도에서 배정할 배송지를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 집계의 배송지 수와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배송원을 선택한 후 선택 배정을 실행합니다.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3.4 배차 주문 목록</w:t>
      </w:r>
    </w:p>
    <w:p>
      <w:pPr>
        <w:keepNext/>
        <w:spacing w:after="110" w:before="0"/>
        <w:jc w:val="center"/>
      </w:pPr>
      <w:r>
        <w:drawing>
          <wp:inline distT="0" distB="0" distL="0" distR="0">
            <wp:extent cx="6477000" cy="4048125"/>
            <wp:effectExtent t="0" r="0" b="0" l="0"/>
            <wp:docPr id="1" name="3.4 배차 주문 목록" descr="3.4 배차 주문 목록 화면" title="3.4 배차 주문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목록 보기를 선택해 주문을 행 단위로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체크박스로 배정 또는 해제할 주문을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주문번호, 배송처, 주소, 고객사,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목록 선택 결과가 지도와 배송원 집계에 반영되는지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3.5 배차 배송원 목록</w:t>
      </w:r>
    </w:p>
    <w:p>
      <w:pPr>
        <w:keepNext/>
        <w:spacing w:after="110" w:before="0"/>
        <w:jc w:val="center"/>
      </w:pPr>
      <w:r>
        <w:drawing>
          <wp:inline distT="0" distB="0" distL="0" distR="0">
            <wp:extent cx="6477000" cy="4048125"/>
            <wp:effectExtent t="0" r="0" b="0" l="0"/>
            <wp:docPr id="1" name="3.5 배차 배송원 목록" descr="3.5 배차 배송원 목록 화면" title="3.5 배차 배송원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배송원, 차량, 배정 건수를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열 제목을 눌러 배송원, 차량, 배정 건수 기준으로 정렬합니다.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배송원을 선택하면 해당 배송원의 배정 주문을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차량 미등록 배송원은 배정 전에 차량 등록 상태를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3.6 배차 처리</w:t>
      </w:r>
    </w:p>
    <w:p>
      <w:pPr>
        <w:keepNext/>
        <w:spacing w:after="110" w:before="0"/>
        <w:jc w:val="center"/>
      </w:pPr>
      <w:r>
        <w:drawing>
          <wp:inline distT="0" distB="0" distL="0" distR="0">
            <wp:extent cx="6477000" cy="4048125"/>
            <wp:effectExtent t="0" r="0" b="0" l="0"/>
            <wp:docPr id="1" name="3.6 배차 처리" descr="3.6 배차 처리 화면" title="3.6 배차 처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처리할 주문과 필요한 경우 배송원을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선택 집계에서 배송지와 주문 건수를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 배정으로 주문을 배송원에게 연결합니다.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배정 해제로 배송원 연결만 취소하거나 배송 삭제로 선택 주문을 배차일에서 제거합니다.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처리 후 배정 건수와 주문 상태가 갱신되었는지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 삭제는 선택 주문을 배차에서 제거하는 작업이므로 대상과 건수를 확인한 뒤 실행합니다.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3.7 배차 주문 검색</w:t>
      </w:r>
    </w:p>
    <w:p>
      <w:pPr>
        <w:keepNext/>
        <w:spacing w:after="110" w:before="0"/>
        <w:jc w:val="center"/>
      </w:pPr>
      <w:r>
        <w:drawing>
          <wp:inline distT="0" distB="0" distL="0" distR="0">
            <wp:extent cx="6477000" cy="4048125"/>
            <wp:effectExtent t="0" r="0" b="0" l="0"/>
            <wp:docPr id="1" name="3.7 배차 주문 검색" descr="3.7 배차 주문 검색 화면" title="3.7 배차 주문 검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오더번호 검색란에 전체 또는 일부 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배송처 검색란에 배송처 이름을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검색을 눌러 조건에 맞는 주문만 표시합니다.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0박스 주문도 일반 주문과 동일하게 주문번호와 배송처로 검색됩니다.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3.8 배차 파일 업로드</w:t>
      </w:r>
    </w:p>
    <w:p>
      <w:pPr>
        <w:keepNext/>
        <w:spacing w:after="110" w:before="0"/>
        <w:jc w:val="center"/>
      </w:pPr>
      <w:r>
        <w:drawing>
          <wp:inline distT="0" distB="0" distL="0" distR="0">
            <wp:extent cx="7200900" cy="4048125"/>
            <wp:effectExtent t="0" r="0" b="0" l="0"/>
            <wp:docPr id="1" name="3.8 배차 파일 업로드" descr="3.8 배차 파일 업로드 화면" title="3.8 배차 파일 업로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주문 업로드를 눌러 업로드 영역을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CSV 또는 XLSX 배차 파일을 선택하거나 끌어 놓습니다.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예제 업로드로 요구되는 열 구성을 확인할 수 있습니다.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파일을 선택한 뒤 배차일과 미리보기 내용을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3.9 배차 업로드 편집</w:t>
      </w:r>
    </w:p>
    <w:p>
      <w:pPr>
        <w:keepNext/>
        <w:spacing w:after="110" w:before="0"/>
        <w:jc w:val="center"/>
      </w:pPr>
      <w:r>
        <w:drawing>
          <wp:inline distT="0" distB="0" distL="0" distR="0">
            <wp:extent cx="7200900" cy="4048125"/>
            <wp:effectExtent t="0" r="0" b="0" l="0"/>
            <wp:docPr id="1" name="3.9 배차 업로드 편집" descr="3.9 배차 업로드 편집 화면" title="3.9 배차 업로드 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미리보기 표에서 열 이름과 데이터 형식을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수정할 셀을 더블클릭해 값을 편집합니다.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주소 확인 결과와 특이사항을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정상, 변경, 주의, 오류 집계를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오류가 0건일 때만 업로드 확정 가능 여부를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3.10 배차 업로드 오류</w:t>
      </w:r>
    </w:p>
    <w:p>
      <w:pPr>
        <w:keepNext/>
        <w:spacing w:after="110" w:before="0"/>
        <w:jc w:val="center"/>
      </w:pPr>
      <w:r>
        <w:drawing>
          <wp:inline distT="0" distB="0" distL="0" distR="0">
            <wp:extent cx="6477000" cy="4048125"/>
            <wp:effectExtent t="0" r="0" b="0" l="0"/>
            <wp:docPr id="1" name="3.10 배차 업로드 오류" descr="3.10 배차 업로드 오류 화면" title="3.10 배차 업로드 오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주의 및 오류 영역을 펼쳐 행별 검증 결과를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행 번호와 열 이름으로 원본 데이터 위치를 찾습니다.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주소 추천이 제공되면 기본 주소와 상세 주소를 확인한 뒤 적용합니다.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오류 항목을 모두 수정한 후 다시 검증합니다.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오류가 남아 있으면 업로드를 확정하지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3.11 0박스 주문 주의</w:t>
      </w:r>
    </w:p>
    <w:p>
      <w:pPr>
        <w:keepNext/>
        <w:spacing w:after="110" w:before="0"/>
        <w:jc w:val="center"/>
      </w:pPr>
      <w:r>
        <w:drawing>
          <wp:inline distT="0" distB="0" distL="0" distR="0">
            <wp:extent cx="6477000" cy="4048125"/>
            <wp:effectExtent t="0" r="0" b="0" l="0"/>
            <wp:docPr id="1" name="3.11 0박스 주문 주의" descr="3.11 0박스 주문 주의 화면" title="3.11 0박스 주문 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shippedbox 값이 0인 주문은 오류가 아니라 주의로 분류됩니다.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같은 배송지의 다른 주문으로 박스가 합산된 경우인지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주문번호는 각각 유지하고 배송지 총 박스 수는 모든 주문의 합계로 표시합니다.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업로드 후에도 주문번호 또는 배송처로 해당 주문을 검색할 수 있습니다.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업무상 정상 합산 건임을 확인한 경우 그대로 업로드할 수 있습니다.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0박스는 자동 오류가 아니지만, 실제 누락인지 합산 배송인지 반드시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3.12 배차 업로드 후 등록</w:t>
      </w:r>
    </w:p>
    <w:p>
      <w:pPr>
        <w:keepNext/>
        <w:spacing w:after="110" w:before="0"/>
        <w:jc w:val="center"/>
      </w:pPr>
      <w:r>
        <w:drawing>
          <wp:inline distT="0" distB="0" distL="0" distR="0">
            <wp:extent cx="6477000" cy="4048125"/>
            <wp:effectExtent t="0" r="0" b="0" l="0"/>
            <wp:docPr id="1" name="3.12 배차 업로드 후 등록" descr="3.12 배차 업로드 후 등록 화면" title="3.12 배차 업로드 후 등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업로드 확정 후 주문이 해당 배차일에 등록되었는지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전체 주문 수와 배정 진행 집계를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 또는 목록에서 새 주문을 검색합니다.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주의로 등록한 0박스 주문의 주문번호와 배송지 표시를 확인합니다.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4. 이력</w:t>
      </w:r>
    </w:p>
    <w:p>
      <w:pPr>
        <w:pStyle w:val="Heading2"/>
        <w:spacing w:after="90" w:before="0"/>
      </w:pPr>
      <w:r>
        <w:rPr>
          <w:rFonts w:ascii="Pretendard" w:cs="Pretendard" w:eastAsia="Pretendard" w:hAnsi="Pretendard" w:hint="eastAsia"/>
          <w:b/>
          <w:bCs/>
          <w:color w:val="000000"/>
          <w:sz w:val="30"/>
          <w:szCs w:val="30"/>
          <w:lang w:val="ko-KR" w:eastAsia="ko-KR"/>
        </w:rPr>
        <w:t xml:space="preserve">4.1 배송 이력 조회</w:t>
      </w:r>
    </w:p>
    <w:p>
      <w:pPr>
        <w:keepNext/>
        <w:spacing w:after="110" w:before="0"/>
        <w:jc w:val="center"/>
      </w:pPr>
      <w:r>
        <w:drawing>
          <wp:inline distT="0" distB="0" distL="0" distR="0">
            <wp:extent cx="8810625" cy="4048125"/>
            <wp:effectExtent t="0" r="0" b="0" l="0"/>
            <wp:docPr id="1" name="4.1 배송 이력 조회" descr="4.1 배송 이력 조회 화면" title="4.1 배송 이력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이력 목록에서 배송 이력을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주문번호, 배송처, 운송자원,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선택한 이력의 상세 정보와 이벤트가 아래 영역에 표시됩니다.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페이지 이동으로 이전 배송 이력을 조회합니다.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4.2 배송 이력 날짜</w:t>
      </w:r>
    </w:p>
    <w:p>
      <w:pPr>
        <w:keepNext/>
        <w:spacing w:after="110" w:before="0"/>
        <w:jc w:val="center"/>
      </w:pPr>
      <w:r>
        <w:drawing>
          <wp:inline distT="0" distB="0" distL="0" distR="0">
            <wp:extent cx="7200900" cy="4048125"/>
            <wp:effectExtent t="0" r="0" b="0" l="0"/>
            <wp:docPr id="1" name="4.2 배송 이력 날짜" descr="4.2 배송 이력 날짜 화면" title="4.2 배송 이력 날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이력 기준일을 눌러 달력을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조회할 날짜를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 날짜의 이력 목록이 갱신되는지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오늘 기준으로 돌아오려면 현재 날짜를 다시 선택합니다.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4.3 배송 상세</w:t>
      </w:r>
    </w:p>
    <w:p>
      <w:pPr>
        <w:keepNext/>
        <w:spacing w:after="110" w:before="0"/>
        <w:jc w:val="center"/>
      </w:pPr>
      <w:r>
        <w:drawing>
          <wp:inline distT="0" distB="0" distL="0" distR="0">
            <wp:extent cx="8810625" cy="4048125"/>
            <wp:effectExtent t="0" r="0" b="0" l="0"/>
            <wp:docPr id="1" name="4.3 배송 상세" descr="4.3 배송 상세 화면" title="4.3 배송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선택한 주문의 주문번호와 배송처를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운송 상태와 배정 차량, 배송원을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예정 시각과 실제 처리 시각을 비교합니다.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온도 또는 증빙 정보가 연결된 경우 함께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4.4 배송 이벤트</w:t>
      </w:r>
    </w:p>
    <w:p>
      <w:pPr>
        <w:keepNext/>
        <w:spacing w:after="110" w:before="0"/>
        <w:jc w:val="center"/>
      </w:pPr>
      <w:r>
        <w:drawing>
          <wp:inline distT="0" distB="0" distL="0" distR="0">
            <wp:extent cx="8810625" cy="4048125"/>
            <wp:effectExtent t="0" r="0" b="0" l="0"/>
            <wp:docPr id="1" name="4.4 배송 이벤트" descr="4.4 배송 이벤트 화면" title="4.4 배송 이벤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 이벤트를 발생 순서대로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각 이벤트의 상태와 발생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지연 또는 예외 이벤트가 있는지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필요한 경우 운영 담당자와 이력 정보를 공유합니다.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5. 운송자원</w:t>
      </w:r>
    </w:p>
    <w:p>
      <w:pPr>
        <w:pStyle w:val="Heading2"/>
        <w:spacing w:after="90" w:before="0"/>
      </w:pPr>
      <w:r>
        <w:rPr>
          <w:rFonts w:ascii="Pretendard" w:cs="Pretendard" w:eastAsia="Pretendard" w:hAnsi="Pretendard" w:hint="eastAsia"/>
          <w:b/>
          <w:bCs/>
          <w:color w:val="000000"/>
          <w:sz w:val="30"/>
          <w:szCs w:val="30"/>
          <w:lang w:val="ko-KR" w:eastAsia="ko-KR"/>
        </w:rPr>
        <w:t xml:space="preserve">5.1 운송자원 화면</w:t>
      </w:r>
    </w:p>
    <w:p>
      <w:pPr>
        <w:keepNext/>
        <w:spacing w:after="110" w:before="0"/>
        <w:jc w:val="center"/>
      </w:pPr>
      <w:r>
        <w:drawing>
          <wp:inline distT="0" distB="0" distL="0" distR="0">
            <wp:extent cx="6477000" cy="4048125"/>
            <wp:effectExtent t="0" r="0" b="0" l="0"/>
            <wp:docPr id="1" name="5.1 운송자원 화면" descr="5.1 운송자원 화면 화면" title="5.1 운송자원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관리에서 운송자원 영역을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배송원 리스트와 선택 배송원 상세를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차량 리스트와 선택 차량 상세를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등록, 수정, 삭제와 앱 설치 안내는 선택 대상과 권한을 확인한 뒤 사용합니다.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5.2 배송원 관리</w:t>
      </w:r>
    </w:p>
    <w:p>
      <w:pPr>
        <w:keepNext/>
        <w:spacing w:after="110" w:before="0"/>
        <w:jc w:val="center"/>
      </w:pPr>
      <w:r>
        <w:drawing>
          <wp:inline distT="0" distB="0" distL="0" distR="0">
            <wp:extent cx="8810625" cy="4048125"/>
            <wp:effectExtent t="0" r="0" b="0" l="0"/>
            <wp:docPr id="1" name="5.2 배송원 관리" descr="5.2 배송원 관리 화면" title="5.2 배송원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배송원 목록에서 관리할 배송원을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이름, 연락처와 앱 연결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등록 또는 수정으로 배송원 정보를 관리합니다.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차량 연결 여부를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배송원 정보 변경은 현재 배차와 앱 로그인에 영향을 줄 수 있습니다.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5.3 배송원 앱 설치</w:t>
      </w:r>
    </w:p>
    <w:p>
      <w:pPr>
        <w:keepNext/>
        <w:spacing w:after="110" w:before="0"/>
        <w:jc w:val="center"/>
      </w:pPr>
      <w:r>
        <w:drawing>
          <wp:inline distT="0" distB="0" distL="0" distR="0">
            <wp:extent cx="6477000" cy="4048125"/>
            <wp:effectExtent t="0" r="0" b="0" l="0"/>
            <wp:docPr id="1" name="5.3 배송원 앱 설치" descr="5.3 배송원 앱 설치 화면" title="5.3 배송원 앱 설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앱 설치 안내 팝업을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배송원에게 https://dsv.cleversystem.ai/driver-app 주소를 전달합니다.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지원되는 기기에서는 운영체제 공유 시트를 사용하고, 지원하지 않거나 공유가 취소되면 복사된 주소를 전달합니다.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배송원은 설치 페이지에서 운영체제별 배포 상태를 확인하고 현장 교육 가이드 PDF도 내려받을 수 있습니다.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배송원 설치는 공개 설치 페이지에서 안내하는 운영체제별 경로만 사용합니다.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5.4 배송원 회원가입</w:t>
      </w:r>
    </w:p>
    <w:p>
      <w:pPr>
        <w:keepNext/>
        <w:spacing w:after="110" w:before="0"/>
        <w:jc w:val="center"/>
      </w:pPr>
      <w:r>
        <w:drawing>
          <wp:inline distT="0" distB="0" distL="0" distR="0">
            <wp:extent cx="8810625" cy="4048125"/>
            <wp:effectExtent t="0" r="0" b="0" l="0"/>
            <wp:docPr id="1" name="5.4 배송원 회원가입" descr="5.4 배송원 회원가입 화면" title="5.4 배송원 회원가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설치 후 CLEVER Driver 로그인 화면에서 회원가입을 누릅니다.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배송원이 DSV에 등록된 본인 이름과 휴대전화 번호를 정확히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ID와 비밀번호를 설정해 회원가입을 완료합니다.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이름과 연락처가 일치하면 배송 업무가 자동 연결되는지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연결 대기 상태가 표시되면 새 계정을 반복 생성하지 말고 DSV 등록 이름과 연락처를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5.5 차량 상세</w:t>
      </w:r>
    </w:p>
    <w:p>
      <w:pPr>
        <w:keepNext/>
        <w:spacing w:after="110" w:before="0"/>
        <w:jc w:val="center"/>
      </w:pPr>
      <w:r>
        <w:drawing>
          <wp:inline distT="0" distB="0" distL="0" distR="0">
            <wp:extent cx="8810625" cy="4048125"/>
            <wp:effectExtent t="0" r="0" b="0" l="0"/>
            <wp:docPr id="1" name="5.5 차량 상세" descr="5.5 차량 상세 화면" title="5.5 차량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차량 목록에서 차량을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 번호와 연결 배송원을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차량 종류와 온도 센서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운영 상태와 최근 사용 정보를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5.6 차량 관리</w:t>
      </w:r>
    </w:p>
    <w:p>
      <w:pPr>
        <w:keepNext/>
        <w:spacing w:after="110" w:before="0"/>
        <w:jc w:val="center"/>
      </w:pPr>
      <w:r>
        <w:drawing>
          <wp:inline distT="0" distB="0" distL="0" distR="0">
            <wp:extent cx="8810625" cy="4048125"/>
            <wp:effectExtent t="0" r="0" b="0" l="0"/>
            <wp:docPr id="1" name="5.6 차량 관리" descr="5.6 차량 관리 화면" title="5.6 차량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등록 또는 수정으로 차량 정보를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 번호와 차량 종류를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배송원 연결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센서 또는 연동 식별자가 있는 경우 정확히 입력합니다.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차량 정보 변경은 배차와 관제 표시 범위에 영향을 줄 수 있습니다.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6. 고객사</w:t>
      </w:r>
    </w:p>
    <w:p>
      <w:pPr>
        <w:pStyle w:val="Heading2"/>
        <w:spacing w:after="90" w:before="0"/>
      </w:pPr>
      <w:r>
        <w:rPr>
          <w:rFonts w:ascii="Pretendard" w:cs="Pretendard" w:eastAsia="Pretendard" w:hAnsi="Pretendard" w:hint="eastAsia"/>
          <w:b/>
          <w:bCs/>
          <w:color w:val="000000"/>
          <w:sz w:val="30"/>
          <w:szCs w:val="30"/>
          <w:lang w:val="ko-KR" w:eastAsia="ko-KR"/>
        </w:rPr>
        <w:t xml:space="preserve">6.1 고객사 목록</w:t>
      </w:r>
    </w:p>
    <w:p>
      <w:pPr>
        <w:keepNext/>
        <w:spacing w:after="110" w:before="0"/>
        <w:jc w:val="center"/>
      </w:pPr>
      <w:r>
        <w:drawing>
          <wp:inline distT="0" distB="0" distL="0" distR="0">
            <wp:extent cx="8810625" cy="4048125"/>
            <wp:effectExtent t="0" r="0" b="0" l="0"/>
            <wp:docPr id="1" name="6.1 고객사 목록" descr="6.1 고객사 목록 화면" title="6.1 고객사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고객사 목록에서 고객사를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고객 코드와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배송조회 링크로 고객사 조회 화면을 열 수 있습니다.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선택 고객사의 상세, 배송지, 계정 정보를 함께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6.2 고객사 상세</w:t>
      </w:r>
    </w:p>
    <w:p>
      <w:pPr>
        <w:keepNext/>
        <w:spacing w:after="110" w:before="0"/>
        <w:jc w:val="center"/>
      </w:pPr>
      <w:r>
        <w:drawing>
          <wp:inline distT="0" distB="0" distL="0" distR="0">
            <wp:extent cx="8810625" cy="4048125"/>
            <wp:effectExtent t="0" r="0" b="0" l="0"/>
            <wp:docPr id="1" name="6.2 고객사 상세" descr="6.2 고객사 상세 화면" title="6.2 고객사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고객사 이름과 고객 코드를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이메일 알림 사용 여부와 대표 수신자를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등록 배송지 수와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수정 기능으로 고객사 정보를 변경합니다.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고객사 정보 변경 전 배송지, 계정, 배송조회 연결 범위를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6.3 고객사 배송지 목록</w:t>
      </w:r>
    </w:p>
    <w:p>
      <w:pPr>
        <w:keepNext/>
        <w:spacing w:after="110" w:before="0"/>
        <w:jc w:val="center"/>
      </w:pPr>
      <w:r>
        <w:drawing>
          <wp:inline distT="0" distB="0" distL="0" distR="0">
            <wp:extent cx="8810625" cy="4048125"/>
            <wp:effectExtent t="0" r="0" b="0" l="0"/>
            <wp:docPr id="1" name="6.3 고객사 배송지 목록" descr="6.3 고객사 배송지 목록 화면" title="6.3 고객사 배송지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 고객사의 배송지 목록을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배송지를 선택해 주소와 통합 주소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등록 또는 수정으로 배송지 정보를 관리합니다.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배송지 삭제 전 연결 주문이 없는지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배송지 변경은 주문 검색과 고객 배송조회 결과에 영향을 줄 수 있습니다.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6.4 고객사 계정 목록</w:t>
      </w:r>
    </w:p>
    <w:p>
      <w:pPr>
        <w:keepNext/>
        <w:spacing w:after="110" w:before="0"/>
        <w:jc w:val="center"/>
      </w:pPr>
      <w:r>
        <w:drawing>
          <wp:inline distT="0" distB="0" distL="0" distR="0">
            <wp:extent cx="8810625" cy="4048125"/>
            <wp:effectExtent t="0" r="0" b="0" l="0"/>
            <wp:docPr id="1" name="6.4 고객사 계정 목록" descr="6.4 고객사 계정 목록 화면" title="6.4 고객사 계정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 계정의 로그인 ID와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초대 상태와 최근 인증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고객 계정은 선택 고객사의 배송만 조회하는지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필요한 경우 계정 초대를 다시 발급합니다.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6.5 고객 계정 발급</w:t>
      </w:r>
    </w:p>
    <w:p>
      <w:pPr>
        <w:keepNext/>
        <w:spacing w:after="110" w:before="0"/>
        <w:jc w:val="center"/>
      </w:pPr>
      <w:r>
        <w:drawing>
          <wp:inline distT="0" distB="0" distL="0" distR="0">
            <wp:extent cx="8810625" cy="4048125"/>
            <wp:effectExtent t="0" r="0" b="0" l="0"/>
            <wp:docPr id="1" name="6.5 고객 계정 발급" descr="6.5 고객 계정 발급 화면" title="6.5 고객 계정 발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수신자 이메일을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표시 이름을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ID를 자동 생성하거나 직접 지정합니다.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상시 로그인 주소와 고객의 비밀번호 직접 설정 방식을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발급 이메일 미리보기를 확인한 뒤 전송합니다.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6.6 고객 초대 이메일</w:t>
      </w:r>
    </w:p>
    <w:p>
      <w:pPr>
        <w:keepNext/>
        <w:spacing w:after="110" w:before="0"/>
        <w:jc w:val="center"/>
      </w:pPr>
      <w:r>
        <w:drawing>
          <wp:inline distT="0" distB="0" distL="0" distR="0">
            <wp:extent cx="8810625" cy="4048125"/>
            <wp:effectExtent t="0" r="0" b="0" l="0"/>
            <wp:docPr id="1" name="6.6 고객 초대 이메일" descr="6.6 고객 초대 이메일 화면" title="6.6 고객 초대 이메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수신자 이메일과 표시 이름을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안내 문장을 고객 상황에 맞게 작성합니다.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보내는 계정, 제목, 본문 전체를 미리보기에서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예시 링크와 실제 수신자 전용 일회성 링크의 차이를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내용 확인 후 초대 이메일을 전송합니다.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초대 이메일은 고객사 담당자에게만 발송하고, 일회용 링크를 제3자에게 전달하지 않습니다.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7. 운송조건</w:t>
      </w:r>
    </w:p>
    <w:p>
      <w:pPr>
        <w:pStyle w:val="Heading2"/>
        <w:spacing w:after="90" w:before="0"/>
      </w:pPr>
      <w:r>
        <w:rPr>
          <w:rFonts w:ascii="Pretendard" w:cs="Pretendard" w:eastAsia="Pretendard" w:hAnsi="Pretendard" w:hint="eastAsia"/>
          <w:b/>
          <w:bCs/>
          <w:color w:val="000000"/>
          <w:sz w:val="30"/>
          <w:szCs w:val="30"/>
          <w:lang w:val="ko-KR" w:eastAsia="ko-KR"/>
        </w:rPr>
        <w:t xml:space="preserve">7.1 운송조건 목록</w:t>
      </w:r>
    </w:p>
    <w:p>
      <w:pPr>
        <w:keepNext/>
        <w:spacing w:after="110" w:before="0"/>
        <w:jc w:val="center"/>
      </w:pPr>
      <w:r>
        <w:drawing>
          <wp:inline distT="0" distB="0" distL="0" distR="0">
            <wp:extent cx="8810625" cy="4048125"/>
            <wp:effectExtent t="0" r="0" b="0" l="0"/>
            <wp:docPr id="1" name="7.1 운송조건 목록" descr="7.1 운송조건 목록 화면" title="7.1 운송조건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운송조건 목록에서 조건을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조건 코드와 표시 이름을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온도 범위와 운영 기준을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연결된 주문이 사용하는 조건과 일치하는지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7.2 운송조건 편집</w:t>
      </w:r>
    </w:p>
    <w:p>
      <w:pPr>
        <w:keepNext/>
        <w:spacing w:after="110" w:before="0"/>
        <w:jc w:val="center"/>
      </w:pPr>
      <w:r>
        <w:drawing>
          <wp:inline distT="0" distB="0" distL="0" distR="0">
            <wp:extent cx="8810625" cy="4048125"/>
            <wp:effectExtent t="0" r="0" b="0" l="0"/>
            <wp:docPr id="1" name="7.2 운송조건 편집" descr="7.2 운송조건 편집 화면" title="7.2 운송조건 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조건 코드와 표시 이름을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최저 및 최고 온도 범위를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알림 또는 운영 관련 값을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저장 후 관제와 이력 화면의 표시를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운송조건 변경은 온도 판단과 경고 기준에 영향을 줄 수 있습니다.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8. 설정</w:t>
      </w:r>
    </w:p>
    <w:p>
      <w:pPr>
        <w:pStyle w:val="Heading2"/>
        <w:spacing w:after="90" w:before="0"/>
      </w:pPr>
      <w:r>
        <w:rPr>
          <w:rFonts w:ascii="Pretendard" w:cs="Pretendard" w:eastAsia="Pretendard" w:hAnsi="Pretendard" w:hint="eastAsia"/>
          <w:b/>
          <w:bCs/>
          <w:color w:val="000000"/>
          <w:sz w:val="30"/>
          <w:szCs w:val="30"/>
          <w:lang w:val="ko-KR" w:eastAsia="ko-KR"/>
        </w:rPr>
        <w:t xml:space="preserve">8.1 출발 위치 설정</w:t>
      </w:r>
    </w:p>
    <w:p>
      <w:pPr>
        <w:keepNext/>
        <w:spacing w:after="110" w:before="0"/>
        <w:jc w:val="center"/>
      </w:pPr>
      <w:r>
        <w:drawing>
          <wp:inline distT="0" distB="0" distL="0" distR="0">
            <wp:extent cx="8810625" cy="4048125"/>
            <wp:effectExtent t="0" r="0" b="0" l="0"/>
            <wp:docPr id="1" name="8.1 출발 위치 설정" descr="8.1 출발 위치 설정 화면" title="8.1 출발 위치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출발지 주소를 입력하거나 주소 검색을 사용합니다.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지도에서 위치를 클릭하거나 마커를 이동합니다.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위도와 경도 값을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저장 후 관제와 배차 지도의 출발 위치를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8.2 운영 기준 설정</w:t>
      </w:r>
    </w:p>
    <w:p>
      <w:pPr>
        <w:keepNext/>
        <w:spacing w:after="110" w:before="0"/>
        <w:jc w:val="center"/>
      </w:pPr>
      <w:r>
        <w:drawing>
          <wp:inline distT="0" distB="0" distL="0" distR="0">
            <wp:extent cx="8810625" cy="4048125"/>
            <wp:effectExtent t="0" r="0" b="0" l="0"/>
            <wp:docPr id="1" name="8.2 운영 기준 설정" descr="8.2 운영 기준 설정 화면" title="8.2 운영 기준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준비 시작과 출발 예정 시간을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ETA 지연 알림 기준을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GPS 미수신과 도착 후 대기시간 기준을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알림 수신 항목을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저장 후 설정값이 유지되는지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8.3 이메일 테스트</w:t>
      </w:r>
    </w:p>
    <w:p>
      <w:pPr>
        <w:keepNext/>
        <w:spacing w:after="110" w:before="0"/>
        <w:jc w:val="center"/>
      </w:pPr>
      <w:r>
        <w:drawing>
          <wp:inline distT="0" distB="0" distL="0" distR="0">
            <wp:extent cx="8810625" cy="4048125"/>
            <wp:effectExtent t="0" r="0" b="0" l="0"/>
            <wp:docPr id="1" name="8.3 이메일 테스트" descr="8.3 이메일 테스트 화면" title="8.3 이메일 테스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인증된 발신자 이메일을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수신자를 쉼표로 구분해 최대 10명까지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제목과 본문에 고객사 배송조회 주소와 안내를 작성합니다.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수신자와 발송 내용 확인 항목을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1회 발송 결과를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테스트 발송도 실제 이메일을 전송합니다. 수신자와 본문을 확인하기 전에는 확인 항목을 선택하지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8.4 내 계정 설정</w:t>
      </w:r>
    </w:p>
    <w:p>
      <w:pPr>
        <w:keepNext/>
        <w:spacing w:after="110" w:before="0"/>
        <w:jc w:val="center"/>
      </w:pPr>
      <w:r>
        <w:drawing>
          <wp:inline distT="0" distB="0" distL="0" distR="0">
            <wp:extent cx="8810625" cy="4048125"/>
            <wp:effectExtent t="0" r="0" b="0" l="0"/>
            <wp:docPr id="1" name="8.4 내 계정 설정" descr="8.4 내 계정 설정 화면" title="8.4 내 계정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현재 비밀번호를 입력해 본인 계정임을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필요한 경우 새 로그인 ID를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새 비밀번호와 비밀번호 확인을 같은 값으로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변경 전 확인 사항을 읽고 저장합니다.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직전에 사용한 비밀번호는 다시 사용할 수 없으며, 변경 후 다른 로그인 세션은 종료됩니다.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8.5 관리자 계정</w:t>
      </w:r>
    </w:p>
    <w:p>
      <w:pPr>
        <w:keepNext/>
        <w:spacing w:after="110" w:before="0"/>
        <w:jc w:val="center"/>
      </w:pPr>
      <w:r>
        <w:drawing>
          <wp:inline distT="0" distB="0" distL="0" distR="0">
            <wp:extent cx="6477000" cy="4048125"/>
            <wp:effectExtent t="0" r="0" b="0" l="0"/>
            <wp:docPr id="1" name="8.5 관리자 계정" descr="8.5 관리자 계정 화면" title="8.5 관리자 계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계정 탭에서 CLEVER 개발 관리자와 DSV 관제 운영 계정을 구분합니다.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권한 열을 눌러 개발 관리 또는 관제 운영 순서로 정렬합니다.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계정별 상태와 마지막 로그인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현재 로그인한 개발 관리자 계정은 비활성화할 수 없습니다.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다른 운영 계정은 해당 행의 비활성화 또는 활성화 버튼으로 관리합니다.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개발 관리 권한과 고객사 관제 운영 권한을 혼동하지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8.6 운영 계정 초대 이메일</w:t>
      </w:r>
    </w:p>
    <w:p>
      <w:pPr>
        <w:keepNext/>
        <w:spacing w:after="110" w:before="0"/>
        <w:jc w:val="center"/>
      </w:pPr>
      <w:r>
        <w:drawing>
          <wp:inline distT="0" distB="0" distL="0" distR="0">
            <wp:extent cx="6477000" cy="4048125"/>
            <wp:effectExtent t="0" r="0" b="0" l="0"/>
            <wp:docPr id="1" name="8.6 운영 계정 초대 이메일" descr="8.6 운영 계정 초대 이메일 화면" title="8.6 운영 계정 초대 이메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수신자 이메일, 표시 이름, 안내 문장을 왼쪽 입력 영역에 작성합니다.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오른쪽 미리보기에서 보내는 계정과 제목을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본문 전체와 48시간 일회성 링크 예시를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실제 이메일에는 수신자 전용 일회성 링크가 포함되는 점을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내용 확인 후 초대 이메일을 전송합니다.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개발 관리자만 DSV 관제 운영 계정을 초대하며 개발 관리 권한은 부여하지 않습니다.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9. 고객 배송조회</w:t>
      </w:r>
    </w:p>
    <w:p>
      <w:pPr>
        <w:pStyle w:val="Heading2"/>
        <w:spacing w:after="90" w:before="0"/>
      </w:pPr>
      <w:r>
        <w:rPr>
          <w:rFonts w:ascii="Pretendard" w:cs="Pretendard" w:eastAsia="Pretendard" w:hAnsi="Pretendard" w:hint="eastAsia"/>
          <w:b/>
          <w:bCs/>
          <w:color w:val="000000"/>
          <w:sz w:val="30"/>
          <w:szCs w:val="30"/>
          <w:lang w:val="ko-KR" w:eastAsia="ko-KR"/>
        </w:rPr>
        <w:t xml:space="preserve">9.1 고객 배송 위치</w:t>
      </w:r>
    </w:p>
    <w:p>
      <w:pPr>
        <w:keepNext/>
        <w:spacing w:after="110" w:before="0"/>
        <w:jc w:val="center"/>
      </w:pPr>
      <w:r>
        <w:drawing>
          <wp:inline distT="0" distB="0" distL="0" distR="0">
            <wp:extent cx="8810625" cy="4048125"/>
            <wp:effectExtent t="0" r="0" b="0" l="0"/>
            <wp:docPr id="1" name="9.1 고객 배송 위치" descr="9.1 고객 배송 위치 화면" title="9.1 고객 배송 위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 배송조회 화면에서 고객사 범위를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검색 조건을 입력해 주문을 조회합니다.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지도에서 배송 차량 또는 배송 위치를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 상세 영역에서 선택 주문 정보를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9.2 고객 배송 조회</w:t>
      </w:r>
    </w:p>
    <w:p>
      <w:pPr>
        <w:keepNext/>
        <w:spacing w:after="110" w:before="0"/>
        <w:jc w:val="center"/>
      </w:pPr>
      <w:r>
        <w:drawing>
          <wp:inline distT="0" distB="0" distL="0" distR="0">
            <wp:extent cx="8810625" cy="4048125"/>
            <wp:effectExtent t="0" r="0" b="0" l="0"/>
            <wp:docPr id="1" name="9.2 고객 배송 조회" descr="9.2 고객 배송 조회 화면" title="9.2 고객 배송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배송처 또는 주문번호를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조회 버튼을 눌러 결과를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검색 결과에서 주문을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현재 상태와 예상 도착 정보를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9.3 고객 배송 조회 상세</w:t>
      </w:r>
    </w:p>
    <w:p>
      <w:pPr>
        <w:keepNext/>
        <w:spacing w:after="110" w:before="0"/>
        <w:jc w:val="center"/>
      </w:pPr>
      <w:r>
        <w:drawing>
          <wp:inline distT="0" distB="0" distL="0" distR="0">
            <wp:extent cx="8810625" cy="4048125"/>
            <wp:effectExtent t="0" r="0" b="0" l="0"/>
            <wp:docPr id="1" name="9.3 고객 배송 조회 상세" descr="9.3 고객 배송 조회 상세 화면" title="9.3 고객 배송 조회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 주문의 배송처와 주문번호를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현재 배송 상태와 예상 도착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지도에서 현재 위치와 이동 경로를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상세 정보는 해당 고객사 주문 범위에서만 표시됩니다.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9.4 고객 배송조회 로그인</w:t>
      </w:r>
    </w:p>
    <w:p>
      <w:pPr>
        <w:keepNext/>
        <w:spacing w:after="110" w:before="0"/>
        <w:jc w:val="center"/>
      </w:pPr>
      <w:r>
        <w:drawing>
          <wp:inline distT="0" distB="0" distL="0" distR="0">
            <wp:extent cx="8810625" cy="4048125"/>
            <wp:effectExtent t="0" r="0" b="0" l="0"/>
            <wp:docPr id="1" name="9.4 고객 배송조회 로그인" descr="9.4 고객 배송조회 로그인 화면" title="9.4 고객 배송조회 로그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 전용 로그인 주소에 접속합니다.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고객이 설정한 로그인 ID와 비밀번호를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버튼을 눌러 배송조회 화면으로 이동합니다.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로그인 문제가 있으면 초대 상태와 계정 활성 상태를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고객 계정은 해당 고객사의 배송만 조회하며 관제 운영 권한을 갖지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9.5 초대 링크 오류 대응</w:t>
      </w:r>
    </w:p>
    <w:p>
      <w:pPr>
        <w:keepNext/>
        <w:spacing w:after="110" w:before="0"/>
        <w:jc w:val="center"/>
      </w:pPr>
      <w:r>
        <w:drawing>
          <wp:inline distT="0" distB="0" distL="0" distR="0">
            <wp:extent cx="8810625" cy="4048125"/>
            <wp:effectExtent t="0" r="0" b="0" l="0"/>
            <wp:docPr id="1" name="9.5 초대 링크 오류 대응" descr="9.5 초대 링크 오류 대응 화면" title="9.5 초대 링크 오류 대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계정 설정 화면의 오류 메시지를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초대 링크의 48시간 만료 여부를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이미 한 번 사용된 링크인지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개발 관리자에게 새 초대 링크 재발급을 요청합니다.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새 링크를 받은 뒤 브라우저에서 다시 계정 설정을 진행합니다.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만료되거나 사용된 링크를 반복해서 사용하지 말고 새 링크를 발급받습니다.</w:t>
      </w:r>
    </w:p>
    <w:sectPr>
      <w:headerReference w:type="default" r:id="rId9"/>
      <w:footerReference w:type="default" r:id="rId10"/>
      <w:type w:val="nextPage"/>
      <w:pgSz w:w="16838" w:h="11906" w:orient="landscape"/>
      <w:pgMar w:top="720" w:right="720" w:bottom="720" w:left="720" w:header="500" w:footer="5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charset w:val="81"/>
    <w:family w:val="auto"/>
    <w:pitch w:val="variable"/>
    <w:sig w:usb0="E0002AFF" w:usb1="C000247B" w:usb2="00000009" w:usb3="00000000" w:csb0="000001FF" w:csb1="00000000"/>
    <w:embedRegular r:id="rId1" w:fontKey="{75e9a21b-e55f-5723-8f3a-1e0e83d1a62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pPr>
  </w:p>
  <w:p>
    <w:pPr>
      <w:spacing w:after="0" w:before="20"/>
      <w:jc w:val="center"/>
    </w:pPr>
    <w:r>
      <w:rPr>
        <w:rFonts w:ascii="Pretendard" w:cs="Pretendard" w:eastAsia="Pretendard" w:hAnsi="Pretendard" w:hint="eastAsia"/>
        <w:color w:val="000000"/>
        <w:sz w:val="20"/>
        <w:szCs w:val="20"/>
        <w:lang w:val="ko-KR" w:eastAsia="ko-KR"/>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Pretendard" w:cs="Pretendard" w:eastAsia="Pretendard" w:hAnsi="Pretendard" w:hint="eastAsia"/>
        <w:b/>
        <w:bCs/>
        <w:color w:val="000000"/>
        <w:sz w:val="18"/>
        <w:szCs w:val="18"/>
        <w:lang w:val="ko-KR" w:eastAsia="ko-KR"/>
      </w:rPr>
      <w:t xml:space="preserve">CLEVER DSV | 관제 운영자 사용자 가이드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Pretendard" w:cs="Pretendard" w:eastAsia="Pretendard" w:hAnsi="Pretendard" w:hint="eastAsia"/>
        <w:b/>
        <w:bCs/>
        <w:color w:val="000000"/>
        <w:sz w:val="18"/>
        <w:szCs w:val="18"/>
        <w:lang w:val="ko-KR" w:eastAsia="ko-KR"/>
      </w:rPr>
      <w:t xml:space="preserve">CLEVER DSV | 관제 운영자 사용자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hint="eastAsia"/>
        <w:color w:val="000000"/>
        <w:sz w:val="22"/>
        <w:szCs w:val="22"/>
        <w:lang w:val="ko-KR" w:eastAsia="ko-KR"/>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Pretendard" w:cs="Pretendard" w:eastAsia="Pretendard" w:hAnsi="Pretendard" w:hint="eastAsia"/>
      <w:b/>
      <w:bCs/>
      <w:color w:val="000000"/>
      <w:sz w:val="32"/>
      <w:szCs w:val="32"/>
      <w:lang w:val="ko-KR" w:eastAsia="ko-KR"/>
    </w:rPr>
  </w:style>
  <w:style w:type="paragraph" w:styleId="Heading2">
    <w:name w:val="Heading 2"/>
    <w:basedOn w:val="Normal"/>
    <w:next w:val="Normal"/>
    <w:qFormat/>
    <w:pPr>
      <w:keepNext/>
      <w:spacing w:after="100" w:before="180"/>
      <w:outlineLvl w:val="1"/>
    </w:pPr>
    <w:rPr>
      <w:rFonts w:ascii="Pretendard" w:cs="Pretendard" w:eastAsia="Pretendard" w:hAnsi="Pretendard" w:hint="eastAsia"/>
      <w:b/>
      <w:bCs/>
      <w:color w:val="000000"/>
      <w:sz w:val="24"/>
      <w:szCs w:val="24"/>
      <w:lang w:val="ko-KR" w:eastAsia="ko-KR"/>
    </w:rPr>
  </w:style>
  <w:style w:type="paragraph" w:styleId="Heading3">
    <w:name w:val="Heading 3"/>
    <w:basedOn w:val="Normal"/>
    <w:next w:val="Normal"/>
    <w:qFormat/>
    <w:pPr>
      <w:keepNext/>
      <w:spacing w:after="80" w:before="120"/>
      <w:outlineLvl w:val="2"/>
    </w:pPr>
    <w:rPr>
      <w:rFonts w:ascii="Pretendard" w:cs="Pretendard" w:eastAsia="Pretendard" w:hAnsi="Pretendard" w:hint="eastAsia"/>
      <w:b/>
      <w:bCs/>
      <w:color w:val="000000"/>
      <w:sz w:val="20"/>
      <w:szCs w:val="20"/>
      <w:lang w:val="ko-KR" w:eastAsia="ko-K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20509d636a4bf0a794ae4c79387c41709905be7.png"/><Relationship Id="rId12" Type="http://schemas.openxmlformats.org/officeDocument/2006/relationships/image" Target="media/89dd07b229046614c1d98fa3f3827559e5210e24.png"/><Relationship Id="rId13" Type="http://schemas.openxmlformats.org/officeDocument/2006/relationships/image" Target="media/19108980f1ff0de84b058630ee1c7edfdef30def.png"/><Relationship Id="rId14" Type="http://schemas.openxmlformats.org/officeDocument/2006/relationships/image" Target="media/8e8a57a3238a97a5d8b7d42ef7f310f9af7d81c2.png"/><Relationship Id="rId15" Type="http://schemas.openxmlformats.org/officeDocument/2006/relationships/image" Target="media/81c15e8ee5828b4ce109e80083fe63c9d384e5f6.png"/><Relationship Id="rId16" Type="http://schemas.openxmlformats.org/officeDocument/2006/relationships/image" Target="media/46e1ca23a34cd4005b7f3090adfe5ca44d495171.png"/><Relationship Id="rId17" Type="http://schemas.openxmlformats.org/officeDocument/2006/relationships/image" Target="media/f594bd2faa148f1657adabea65d1e536db15f49c.png"/><Relationship Id="rId18" Type="http://schemas.openxmlformats.org/officeDocument/2006/relationships/image" Target="media/6ffbf69972c217e6791692ae3605bef78dfbbe43.png"/><Relationship Id="rId19" Type="http://schemas.openxmlformats.org/officeDocument/2006/relationships/image" Target="media/4348bfe99fa13e9003d0617f16f0be24d04bfc19.png"/><Relationship Id="rId20" Type="http://schemas.openxmlformats.org/officeDocument/2006/relationships/image" Target="media/e80b83c97cdbe2d5baa2ee12e581c7f3e513a669.png"/><Relationship Id="rId21" Type="http://schemas.openxmlformats.org/officeDocument/2006/relationships/image" Target="media/94b901e7b0317c9c99e85fc88747752c905ea75f.png"/><Relationship Id="rId22" Type="http://schemas.openxmlformats.org/officeDocument/2006/relationships/image" Target="media/acbe797a8fa6520c5e141b9dca477af2df228a03.png"/><Relationship Id="rId23" Type="http://schemas.openxmlformats.org/officeDocument/2006/relationships/image" Target="media/c1345ef35712d83ba1ca55e49cc79263a811a644.png"/><Relationship Id="rId24" Type="http://schemas.openxmlformats.org/officeDocument/2006/relationships/image" Target="media/daf3c8e1bb47deabac434b52b88860cf57bf4623.png"/><Relationship Id="rId25" Type="http://schemas.openxmlformats.org/officeDocument/2006/relationships/image" Target="media/bffbab2c0e62ed9fa9d3e62e61a156d5d0f6a8af.png"/><Relationship Id="rId26" Type="http://schemas.openxmlformats.org/officeDocument/2006/relationships/image" Target="media/b256272c32a76a2535e19a50bcf28c07c51b2c95.png"/><Relationship Id="rId27" Type="http://schemas.openxmlformats.org/officeDocument/2006/relationships/image" Target="media/4f020637b56b32346abdca72cbd773392dabbeb4.png"/><Relationship Id="rId28" Type="http://schemas.openxmlformats.org/officeDocument/2006/relationships/image" Target="media/66bff638bb9cddf56e909c135ee24bc625a69859.png"/><Relationship Id="rId29" Type="http://schemas.openxmlformats.org/officeDocument/2006/relationships/image" Target="media/b1ce1d8ec16b67ad9761ee8432341f589ebcfe19.png"/><Relationship Id="rId30" Type="http://schemas.openxmlformats.org/officeDocument/2006/relationships/image" Target="media/728a2b9a5102bef37fb75d7a7e0ed1d8581e8fb1.png"/><Relationship Id="rId31" Type="http://schemas.openxmlformats.org/officeDocument/2006/relationships/image" Target="media/f7f66cac68f0f38120f69003800112cc393888ac.png"/><Relationship Id="rId32" Type="http://schemas.openxmlformats.org/officeDocument/2006/relationships/image" Target="media/59111e7c56df442305b7fb6dff7045d2823b34db.png"/><Relationship Id="rId33" Type="http://schemas.openxmlformats.org/officeDocument/2006/relationships/image" Target="media/0a02fe15367c79c0246575f6de1b9ce252fab7a9.png"/><Relationship Id="rId34" Type="http://schemas.openxmlformats.org/officeDocument/2006/relationships/image" Target="media/3dd909a44bd7e204a62b18d19f8476d8c27d1052.png"/><Relationship Id="rId35" Type="http://schemas.openxmlformats.org/officeDocument/2006/relationships/image" Target="media/aeef04c9025045a7d64f52ec609d79cf7888bbcc.png"/><Relationship Id="rId36" Type="http://schemas.openxmlformats.org/officeDocument/2006/relationships/image" Target="media/dbf8db4719a888f686bf9a8a15ecb38fd727416a.png"/><Relationship Id="rId37" Type="http://schemas.openxmlformats.org/officeDocument/2006/relationships/image" Target="media/fd2acab0244b32e828109bf42f2be9479fc5b950.png"/><Relationship Id="rId38" Type="http://schemas.openxmlformats.org/officeDocument/2006/relationships/image" Target="media/79fe76323137f2f9e8477cd0d3588b11cbf2078c.png"/><Relationship Id="rId39" Type="http://schemas.openxmlformats.org/officeDocument/2006/relationships/image" Target="media/99460944cda4bc2d0c8f4e9a83c7f20848357d9f.png"/><Relationship Id="rId40" Type="http://schemas.openxmlformats.org/officeDocument/2006/relationships/image" Target="media/81e61c410ce2cde0e2d360043d2f2c305086accb.png"/><Relationship Id="rId41" Type="http://schemas.openxmlformats.org/officeDocument/2006/relationships/image" Target="media/fd7538a0b1ae177fef69cf6152716d28cf088f89.png"/><Relationship Id="rId42" Type="http://schemas.openxmlformats.org/officeDocument/2006/relationships/image" Target="media/2fbf934cd0179f06c3a49124ec8a861a9188f56a.png"/><Relationship Id="rId43" Type="http://schemas.openxmlformats.org/officeDocument/2006/relationships/image" Target="media/f8574c4889ff7cc3556c1259642014b71481727e.png"/><Relationship Id="rId44" Type="http://schemas.openxmlformats.org/officeDocument/2006/relationships/image" Target="media/e1a47143375288f900a8766f1251aae9032d5817.png"/><Relationship Id="rId45" Type="http://schemas.openxmlformats.org/officeDocument/2006/relationships/image" Target="media/9a85302cd2718739148207a0e7d0c7556188ada7.png"/><Relationship Id="rId46" Type="http://schemas.openxmlformats.org/officeDocument/2006/relationships/image" Target="media/8a13b539eb9964e35ecf6a06c5d9fe8b96ee3ae3.png"/><Relationship Id="rId47" Type="http://schemas.openxmlformats.org/officeDocument/2006/relationships/image" Target="media/6295953bcee1f84339abd3d364a22a8ee1e90bb4.png"/><Relationship Id="rId48" Type="http://schemas.openxmlformats.org/officeDocument/2006/relationships/image" Target="media/040ab60eb55868d2543305e243dc7c52f855c94f.png"/><Relationship Id="rId49" Type="http://schemas.openxmlformats.org/officeDocument/2006/relationships/image" Target="media/e8d87d765f675fe35234de451102fa3b02f82375.png"/><Relationship Id="rId50" Type="http://schemas.openxmlformats.org/officeDocument/2006/relationships/image" Target="media/5c2240c1d7b385c1c636199d6288a6e555558dbf.png"/><Relationship Id="rId51" Type="http://schemas.openxmlformats.org/officeDocument/2006/relationships/image" Target="media/6151830f03b19bce75bb1d52528ababfdeb37c63.png"/><Relationship Id="rId52" Type="http://schemas.openxmlformats.org/officeDocument/2006/relationships/image" Target="media/c6c603c26b1eab0f860639276e78c61d74f1a545.png"/><Relationship Id="rId53" Type="http://schemas.openxmlformats.org/officeDocument/2006/relationships/image" Target="media/dbbb55db0fda0e8c86f54d3de13cc23d4eca828e.png"/><Relationship Id="rId54" Type="http://schemas.openxmlformats.org/officeDocument/2006/relationships/image" Target="media/e67481d0a8b71e782b5397aeece3b4757c34dec0.png"/><Relationship Id="rId55" Type="http://schemas.openxmlformats.org/officeDocument/2006/relationships/image" Target="media/401f820bf9c136e1f97b6128684cc30711199958.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Pretendard.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2026-09-03T07:01:04.747Z</dcterms:created>
  <dcterms:modified xsi:type="dcterms:W3CDTF">2026-09-03T07:01:04.754Z</dcterms:modified>
</cp:coreProperties>
</file>

<file path=docProps/custom.xml><?xml version="1.0" encoding="utf-8"?>
<Properties xmlns="http://schemas.openxmlformats.org/officeDocument/2006/custom-properties" xmlns:vt="http://schemas.openxmlformats.org/officeDocument/2006/docPropsVTypes"/>
</file>