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480.0" w:type="dxa"/>
              <w:left w:w="560.0" w:type="dxa"/>
              <w:bottom w:w="480.0" w:type="dxa"/>
              <w:right w:w="560.0" w:type="dxa"/>
            </w:tcMar>
          </w:tcPr>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smallCaps w:val="1"/>
                <w:color w:val="ffffff"/>
                <w:sz w:val="60"/>
                <w:szCs w:val="60"/>
                <w:rtl w:val="0"/>
              </w:rPr>
              <w:t xml:space="preserve">EVOLENTITY</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1"/>
                <w:bCs w:val="1"/>
                <w:color w:val="9a7318"/>
                <w:sz w:val="40"/>
                <w:szCs w:val="40"/>
                <w:rtl w:val="0"/>
              </w:rPr>
              <w:t xml:space="preserve">Trust Measurement Doctrine</w:t>
            </w:r>
            <w:r w:rsidDel="00000000" w:rsidR="00000000" w:rsidRPr="00000000">
              <w:rPr>
                <w:rtl w:val="0"/>
              </w:rPr>
            </w:r>
          </w:p>
          <w:p w:rsidR="00000000" w:rsidDel="00000000" w:rsidP="00000000" w:rsidRDefault="00000000" w:rsidRPr="00000000" w14:paraId="00000004">
            <w:pPr>
              <w:spacing w:after="520" w:lineRule="auto"/>
              <w:rPr/>
            </w:pPr>
            <w:r w:rsidDel="00000000" w:rsidR="00000000" w:rsidRPr="00000000">
              <w:rPr>
                <w:rFonts w:ascii="Calibri" w:cs="Calibri" w:eastAsia="Calibri" w:hAnsi="Calibri"/>
                <w:i w:val="1"/>
                <w:iCs w:val="1"/>
                <w:color w:val="8a9bb0"/>
                <w:sz w:val="19"/>
                <w:szCs w:val="19"/>
                <w:rtl w:val="0"/>
              </w:rPr>
              <w:t xml:space="preserve">Version 1.0  •  Foundational Canon  •  Primary Source of Truth</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Fonts w:ascii="Calibri" w:cs="Calibri" w:eastAsia="Calibri" w:hAnsi="Calibri"/>
                <w:b w:val="1"/>
                <w:bCs w:val="1"/>
                <w:i w:val="1"/>
                <w:iCs w:val="1"/>
                <w:color w:val="e8eff7"/>
                <w:sz w:val="28"/>
                <w:szCs w:val="28"/>
                <w:rtl w:val="0"/>
              </w:rPr>
              <w:t xml:space="preserve">Making Trust Observable, Portable, and Actionable</w:t>
            </w:r>
            <w:r w:rsidDel="00000000" w:rsidR="00000000" w:rsidRPr="00000000">
              <w:rPr>
                <w:rtl w:val="0"/>
              </w:rPr>
            </w:r>
          </w:p>
          <w:p w:rsidR="00000000" w:rsidDel="00000000" w:rsidP="00000000" w:rsidRDefault="00000000" w:rsidRPr="00000000" w14:paraId="00000006">
            <w:pPr>
              <w:jc w:val="left"/>
              <w:rPr/>
            </w:pPr>
            <w:r w:rsidDel="00000000" w:rsidR="00000000" w:rsidRPr="00000000">
              <w:rPr>
                <w:rFonts w:ascii="Calibri" w:cs="Calibri" w:eastAsia="Calibri" w:hAnsi="Calibri"/>
                <w:color w:val="e8eff7"/>
                <w:sz w:val="21"/>
                <w:szCs w:val="21"/>
                <w:rtl w:val="0"/>
              </w:rPr>
              <w:t xml:space="preserve">The constitutional document of the global trust measurement infrastructure for the autonomous digital economy.</w:t>
            </w:r>
            <w:r w:rsidDel="00000000" w:rsidR="00000000" w:rsidRPr="00000000">
              <w:rPr>
                <w:rtl w:val="0"/>
              </w:rPr>
            </w:r>
          </w:p>
        </w:tc>
      </w:tr>
    </w:tbl>
    <w:p w:rsidR="00000000" w:rsidDel="00000000" w:rsidP="00000000" w:rsidRDefault="00000000" w:rsidRPr="00000000" w14:paraId="00000007">
      <w:pPr>
        <w:spacing w:after="280" w:before="0" w:lineRule="auto"/>
        <w:rPr/>
      </w:pPr>
      <w:r w:rsidDel="00000000" w:rsidR="00000000" w:rsidRPr="00000000">
        <w:rPr>
          <w:rtl w:val="0"/>
        </w:rPr>
      </w:r>
    </w:p>
    <w:tbl>
      <w:tblPr>
        <w:tblStyle w:val="Table2"/>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color w:val="8a9bb0"/>
                <w:sz w:val="16"/>
                <w:szCs w:val="16"/>
                <w:rtl w:val="0"/>
              </w:rPr>
              <w:t xml:space="preserve">Classification</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b w:val="1"/>
                <w:bCs w:val="1"/>
                <w:color w:val="0f2744"/>
                <w:sz w:val="20"/>
                <w:szCs w:val="20"/>
                <w:rtl w:val="0"/>
              </w:rPr>
              <w:t xml:space="preserve">Foundational Canon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A">
            <w:pPr>
              <w:spacing w:after="40" w:lineRule="auto"/>
              <w:jc w:val="center"/>
              <w:rPr/>
            </w:pPr>
            <w:r w:rsidDel="00000000" w:rsidR="00000000" w:rsidRPr="00000000">
              <w:rPr>
                <w:rFonts w:ascii="Calibri" w:cs="Calibri" w:eastAsia="Calibri" w:hAnsi="Calibri"/>
                <w:color w:val="8a9bb0"/>
                <w:sz w:val="16"/>
                <w:szCs w:val="16"/>
                <w:rtl w:val="0"/>
              </w:rPr>
              <w:t xml:space="preserve">Scope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0f2744"/>
                <w:sz w:val="20"/>
                <w:szCs w:val="20"/>
                <w:rtl w:val="0"/>
              </w:rPr>
              <w:t xml:space="preserve">Global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C">
            <w:pPr>
              <w:spacing w:after="40" w:lineRule="auto"/>
              <w:jc w:val="center"/>
              <w:rPr/>
            </w:pPr>
            <w:r w:rsidDel="00000000" w:rsidR="00000000" w:rsidRPr="00000000">
              <w:rPr>
                <w:rFonts w:ascii="Calibri" w:cs="Calibri" w:eastAsia="Calibri" w:hAnsi="Calibri"/>
                <w:color w:val="8a9bb0"/>
                <w:sz w:val="16"/>
                <w:szCs w:val="16"/>
                <w:rtl w:val="0"/>
              </w:rPr>
              <w:t xml:space="preserve">Status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0f2744"/>
                <w:sz w:val="20"/>
                <w:szCs w:val="20"/>
                <w:rtl w:val="0"/>
              </w:rPr>
              <w:t xml:space="preserve">Public / Informational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ff7" w:val="clear"/>
            <w:tcMar>
              <w:top w:w="120.0" w:type="dxa"/>
              <w:left w:w="160.0" w:type="dxa"/>
              <w:bottom w:w="120.0" w:type="dxa"/>
              <w:right w:w="160.0" w:type="dxa"/>
            </w:tcMar>
          </w:tcPr>
          <w:p w:rsidR="00000000" w:rsidDel="00000000" w:rsidP="00000000" w:rsidRDefault="00000000" w:rsidRPr="00000000" w14:paraId="0000000E">
            <w:pPr>
              <w:spacing w:after="40" w:lineRule="auto"/>
              <w:jc w:val="center"/>
              <w:rPr/>
            </w:pPr>
            <w:r w:rsidDel="00000000" w:rsidR="00000000" w:rsidRPr="00000000">
              <w:rPr>
                <w:rFonts w:ascii="Calibri" w:cs="Calibri" w:eastAsia="Calibri" w:hAnsi="Calibri"/>
                <w:color w:val="8a9bb0"/>
                <w:sz w:val="16"/>
                <w:szCs w:val="16"/>
                <w:rtl w:val="0"/>
              </w:rPr>
              <w:t xml:space="preserve">Version</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0f2744"/>
                <w:sz w:val="20"/>
                <w:szCs w:val="20"/>
                <w:rtl w:val="0"/>
              </w:rPr>
              <w:t xml:space="preserve">1.0  |  March 2026</w:t>
            </w:r>
            <w:r w:rsidDel="00000000" w:rsidR="00000000" w:rsidRPr="00000000">
              <w:rPr>
                <w:rtl w:val="0"/>
              </w:rPr>
            </w:r>
          </w:p>
        </w:tc>
      </w:tr>
    </w:tbl>
    <w:p w:rsidR="00000000" w:rsidDel="00000000" w:rsidP="00000000" w:rsidRDefault="00000000" w:rsidRPr="00000000" w14:paraId="00000010">
      <w:pPr>
        <w:spacing w:after="280" w:before="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8a9bb0"/>
                <w:sz w:val="18"/>
                <w:szCs w:val="18"/>
                <w:rtl w:val="0"/>
              </w:rPr>
              <w:t xml:space="preserve">Document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a1628"/>
                <w:sz w:val="18"/>
                <w:szCs w:val="18"/>
                <w:rtl w:val="0"/>
              </w:rPr>
              <w:t xml:space="preserve">EVOLENTITY-DOC-DOCTRINE-001-EN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8a9bb0"/>
                <w:sz w:val="18"/>
                <w:szCs w:val="18"/>
                <w:rtl w:val="0"/>
              </w:rPr>
              <w:t xml:space="preserve">Issuing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a1628"/>
                <w:sz w:val="18"/>
                <w:szCs w:val="18"/>
                <w:rtl w:val="0"/>
              </w:rPr>
              <w:t xml:space="preserve">InterAlliance OÜ, Tallinn, Republic of Estonia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8a9bb0"/>
                <w:sz w:val="18"/>
                <w:szCs w:val="18"/>
                <w:rtl w:val="0"/>
              </w:rPr>
              <w:t xml:space="preserve">Intended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0a1628"/>
                <w:sz w:val="18"/>
                <w:szCs w:val="18"/>
                <w:rtl w:val="0"/>
              </w:rPr>
              <w:t xml:space="preserve">Governments, Standards Bodies, Regulators, Investors, Academia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8a9bb0"/>
                <w:sz w:val="18"/>
                <w:szCs w:val="18"/>
                <w:rtl w:val="0"/>
              </w:rPr>
              <w:t xml:space="preserve">Supersedes: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0a1628"/>
                <w:sz w:val="18"/>
                <w:szCs w:val="18"/>
                <w:rtl w:val="0"/>
              </w:rPr>
              <w:t xml:space="preserve">All prior positioning statements of EVOLENTITY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8a9bb0"/>
                <w:sz w:val="18"/>
                <w:szCs w:val="18"/>
                <w:rtl w:val="0"/>
              </w:rPr>
              <w:t xml:space="preserve">Normative 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0a1628"/>
                <w:sz w:val="18"/>
                <w:szCs w:val="18"/>
                <w:rtl w:val="0"/>
              </w:rPr>
              <w:t xml:space="preserve">All derivative documents must conform to this Doctrine</w:t>
            </w:r>
            <w:r w:rsidDel="00000000" w:rsidR="00000000" w:rsidRPr="00000000">
              <w:rPr>
                <w:rtl w:val="0"/>
              </w:rPr>
            </w:r>
          </w:p>
        </w:tc>
      </w:tr>
    </w:tbl>
    <w:p w:rsidR="00000000" w:rsidDel="00000000" w:rsidP="00000000" w:rsidRDefault="00000000" w:rsidRPr="00000000" w14:paraId="0000001B">
      <w:pPr>
        <w:spacing w:after="320" w:before="0" w:lineRule="auto"/>
        <w:rPr/>
      </w:pPr>
      <w:r w:rsidDel="00000000" w:rsidR="00000000" w:rsidRPr="00000000">
        <w:rPr>
          <w:rtl w:val="0"/>
        </w:rPr>
      </w:r>
    </w:p>
    <w:p w:rsidR="00000000" w:rsidDel="00000000" w:rsidP="00000000" w:rsidRDefault="00000000" w:rsidRPr="00000000" w14:paraId="0000001C">
      <w:pPr>
        <w:pBdr>
          <w:bottom w:color="9a7318" w:space="0" w:sz="12" w:val="single"/>
        </w:pBdr>
        <w:spacing w:after="200" w:before="0" w:lineRule="auto"/>
        <w:rPr/>
      </w:pPr>
      <w:r w:rsidDel="00000000" w:rsidR="00000000" w:rsidRPr="00000000">
        <w:rPr>
          <w:rtl w:val="0"/>
        </w:rPr>
      </w:r>
    </w:p>
    <w:p w:rsidR="00000000" w:rsidDel="00000000" w:rsidP="00000000" w:rsidRDefault="00000000" w:rsidRPr="00000000" w14:paraId="0000001D">
      <w:pPr>
        <w:pBdr>
          <w:left w:color="9a7318" w:space="0" w:sz="18" w:val="single"/>
        </w:pBdr>
        <w:spacing w:after="240" w:before="240" w:lineRule="auto"/>
        <w:ind w:left="560" w:right="280" w:firstLine="0"/>
        <w:rPr/>
      </w:pPr>
      <w:r w:rsidDel="00000000" w:rsidR="00000000" w:rsidRPr="00000000">
        <w:rPr>
          <w:rFonts w:ascii="Calibri" w:cs="Calibri" w:eastAsia="Calibri" w:hAnsi="Calibri"/>
          <w:b w:val="1"/>
          <w:bCs w:val="1"/>
          <w:i w:val="1"/>
          <w:iCs w:val="1"/>
          <w:color w:val="0f2744"/>
          <w:sz w:val="24"/>
          <w:szCs w:val="24"/>
          <w:rtl w:val="0"/>
        </w:rPr>
        <w:t xml:space="preserve">Making Trust Observable, Portable, and Actionable</w:t>
      </w:r>
      <w:r w:rsidDel="00000000" w:rsidR="00000000" w:rsidRPr="00000000">
        <w:rPr>
          <w:rtl w:val="0"/>
        </w:rPr>
      </w:r>
    </w:p>
    <w:p w:rsidR="00000000" w:rsidDel="00000000" w:rsidP="00000000" w:rsidRDefault="00000000" w:rsidRPr="00000000" w14:paraId="0000001E">
      <w:pPr>
        <w:pBdr>
          <w:bottom w:color="9a7318" w:space="0" w:sz="12" w:val="single"/>
        </w:pBdr>
        <w:spacing w:after="200" w:before="0" w:lineRule="auto"/>
        <w:rPr/>
      </w:pPr>
      <w:r w:rsidDel="00000000" w:rsidR="00000000" w:rsidRPr="00000000">
        <w:rPr>
          <w:rtl w:val="0"/>
        </w:rPr>
      </w:r>
    </w:p>
    <w:p w:rsidR="00000000" w:rsidDel="00000000" w:rsidP="00000000" w:rsidRDefault="00000000" w:rsidRPr="00000000" w14:paraId="0000001F">
      <w:pPr>
        <w:spacing w:after="400" w:before="0" w:lineRule="auto"/>
        <w:rPr/>
      </w:pPr>
      <w:r w:rsidDel="00000000" w:rsidR="00000000" w:rsidRPr="00000000">
        <w:rPr>
          <w:rtl w:val="0"/>
        </w:rPr>
      </w:r>
    </w:p>
    <w:p w:rsidR="00000000" w:rsidDel="00000000" w:rsidP="00000000" w:rsidRDefault="00000000" w:rsidRPr="00000000" w14:paraId="00000020">
      <w:pPr>
        <w:spacing w:after="400" w:before="0" w:lineRule="auto"/>
        <w:rPr/>
      </w:pPr>
      <w:r w:rsidDel="00000000" w:rsidR="00000000" w:rsidRPr="00000000">
        <w:rPr>
          <w:rtl w:val="0"/>
        </w:rPr>
      </w:r>
    </w:p>
    <w:p w:rsidR="00000000" w:rsidDel="00000000" w:rsidP="00000000" w:rsidRDefault="00000000" w:rsidRPr="00000000" w14:paraId="00000021">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00  </w:t>
      </w:r>
      <w:r w:rsidDel="00000000" w:rsidR="00000000" w:rsidRPr="00000000">
        <w:rPr>
          <w:rFonts w:ascii="Calibri" w:cs="Calibri" w:eastAsia="Calibri" w:hAnsi="Calibri"/>
          <w:b w:val="1"/>
          <w:bCs w:val="1"/>
          <w:color w:val="0f2744"/>
          <w:sz w:val="26"/>
          <w:szCs w:val="26"/>
          <w:rtl w:val="0"/>
        </w:rPr>
        <w:t xml:space="preserve">STATUS AND SCOPE</w:t>
      </w:r>
      <w:r w:rsidDel="00000000" w:rsidR="00000000" w:rsidRPr="00000000">
        <w:rPr>
          <w:rtl w:val="0"/>
        </w:rPr>
      </w:r>
    </w:p>
    <w:p w:rsidR="00000000" w:rsidDel="00000000" w:rsidP="00000000" w:rsidRDefault="00000000" w:rsidRPr="00000000" w14:paraId="00000022">
      <w:pPr>
        <w:spacing w:after="120" w:before="0" w:lineRule="auto"/>
        <w:rPr/>
      </w:pPr>
      <w:r w:rsidDel="00000000" w:rsidR="00000000" w:rsidRPr="00000000">
        <w:rPr>
          <w:rtl w:val="0"/>
        </w:rPr>
      </w:r>
    </w:p>
    <w:p w:rsidR="00000000" w:rsidDel="00000000" w:rsidP="00000000" w:rsidRDefault="00000000" w:rsidRPr="00000000" w14:paraId="00000023">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document constitutes the foundational governing charter of the EVOLENTITY trust measurement infrastructure. It establishes the mission, principles, scope, and normative boundaries of a global initiative to make trust in autonomous digital systems measurable, portable, and actionable.</w:t>
      </w:r>
      <w:r w:rsidDel="00000000" w:rsidR="00000000" w:rsidRPr="00000000">
        <w:rPr>
          <w:rtl w:val="0"/>
        </w:rPr>
      </w:r>
    </w:p>
    <w:p w:rsidR="00000000" w:rsidDel="00000000" w:rsidP="00000000" w:rsidRDefault="00000000" w:rsidRPr="00000000" w14:paraId="00000024">
      <w:pPr>
        <w:spacing w:after="120" w:before="0" w:lineRule="auto"/>
        <w:rPr/>
      </w:pPr>
      <w:r w:rsidDel="00000000" w:rsidR="00000000" w:rsidRPr="00000000">
        <w:rPr>
          <w:rtl w:val="0"/>
        </w:rPr>
      </w:r>
    </w:p>
    <w:p w:rsidR="00000000" w:rsidDel="00000000" w:rsidP="00000000" w:rsidRDefault="00000000" w:rsidRPr="00000000" w14:paraId="00000025">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This document is informational in nature. It does not prescribe implementation, mandate participation, or establish enforcement authority over any party.</w:t>
      </w:r>
      <w:r w:rsidDel="00000000" w:rsidR="00000000" w:rsidRPr="00000000">
        <w:rPr>
          <w:rtl w:val="0"/>
        </w:rPr>
      </w:r>
    </w:p>
    <w:p w:rsidR="00000000" w:rsidDel="00000000" w:rsidP="00000000" w:rsidRDefault="00000000" w:rsidRPr="00000000" w14:paraId="00000026">
      <w:pPr>
        <w:spacing w:after="200" w:before="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9a7318" w:space="0" w:sz="4" w:val="single"/>
              <w:left w:color="9a7318" w:space="0" w:sz="16" w:val="single"/>
              <w:bottom w:color="9a7318" w:space="0" w:sz="4" w:val="single"/>
              <w:right w:color="d6dce6" w:space="0" w:sz="4" w:val="single"/>
            </w:tcBorders>
            <w:shd w:fill="f5edd8" w:val="clear"/>
            <w:tcMar>
              <w:top w:w="160.0" w:type="dxa"/>
              <w:left w:w="280.0" w:type="dxa"/>
              <w:bottom w:w="160.0" w:type="dxa"/>
              <w:right w:w="280.0" w:type="dxa"/>
            </w:tcMar>
          </w:tcPr>
          <w:p w:rsidR="00000000" w:rsidDel="00000000" w:rsidP="00000000" w:rsidRDefault="00000000" w:rsidRPr="00000000" w14:paraId="00000027">
            <w:pPr>
              <w:spacing w:after="80" w:lineRule="auto"/>
              <w:rPr/>
            </w:pPr>
            <w:r w:rsidDel="00000000" w:rsidR="00000000" w:rsidRPr="00000000">
              <w:rPr>
                <w:rFonts w:ascii="Calibri" w:cs="Calibri" w:eastAsia="Calibri" w:hAnsi="Calibri"/>
                <w:b w:val="1"/>
                <w:bCs w:val="1"/>
                <w:color w:val="9a7318"/>
                <w:sz w:val="20"/>
                <w:szCs w:val="20"/>
                <w:rtl w:val="0"/>
              </w:rPr>
              <w:t xml:space="preserve">Intellectual Property Notice</w:t>
            </w: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Calibri" w:cs="Calibri" w:eastAsia="Calibri" w:hAnsi="Calibri"/>
                <w:i w:val="0"/>
                <w:iCs w:val="0"/>
                <w:color w:val="0a1628"/>
                <w:sz w:val="20"/>
                <w:szCs w:val="20"/>
                <w:rtl w:val="0"/>
              </w:rPr>
              <w:t xml:space="preserve">This document describes conceptual principles and governance foundations of a trust measurement infrastructure and does not disclose implementation details. Technical mechanisms, architectures, and operational methods referenced herein may be subject to separate intellectual property protection.</w:t>
            </w:r>
            <w:r w:rsidDel="00000000" w:rsidR="00000000" w:rsidRPr="00000000">
              <w:rPr>
                <w:rtl w:val="0"/>
              </w:rPr>
            </w:r>
          </w:p>
        </w:tc>
      </w:tr>
    </w:tbl>
    <w:p w:rsidR="00000000" w:rsidDel="00000000" w:rsidP="00000000" w:rsidRDefault="00000000" w:rsidRPr="00000000" w14:paraId="00000029">
      <w:pPr>
        <w:spacing w:after="320" w:before="0" w:lineRule="auto"/>
        <w:rPr/>
      </w:pPr>
      <w:r w:rsidDel="00000000" w:rsidR="00000000" w:rsidRPr="00000000">
        <w:rPr>
          <w:rtl w:val="0"/>
        </w:rPr>
      </w:r>
    </w:p>
    <w:p w:rsidR="00000000" w:rsidDel="00000000" w:rsidP="00000000" w:rsidRDefault="00000000" w:rsidRPr="00000000" w14:paraId="0000002A">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01  </w:t>
      </w:r>
      <w:r w:rsidDel="00000000" w:rsidR="00000000" w:rsidRPr="00000000">
        <w:rPr>
          <w:rFonts w:ascii="Calibri" w:cs="Calibri" w:eastAsia="Calibri" w:hAnsi="Calibri"/>
          <w:b w:val="1"/>
          <w:bCs w:val="1"/>
          <w:color w:val="0f2744"/>
          <w:sz w:val="26"/>
          <w:szCs w:val="26"/>
          <w:rtl w:val="0"/>
        </w:rPr>
        <w:t xml:space="preserve">MISSION</w:t>
      </w:r>
      <w:r w:rsidDel="00000000" w:rsidR="00000000" w:rsidRPr="00000000">
        <w:rPr>
          <w:rtl w:val="0"/>
        </w:rPr>
      </w:r>
    </w:p>
    <w:p w:rsidR="00000000" w:rsidDel="00000000" w:rsidP="00000000" w:rsidRDefault="00000000" w:rsidRPr="00000000" w14:paraId="0000002B">
      <w:pPr>
        <w:spacing w:after="120" w:before="0" w:lineRule="auto"/>
        <w:rPr/>
      </w:pPr>
      <w:r w:rsidDel="00000000" w:rsidR="00000000" w:rsidRPr="00000000">
        <w:rPr>
          <w:rtl w:val="0"/>
        </w:rPr>
      </w:r>
    </w:p>
    <w:p w:rsidR="00000000" w:rsidDel="00000000" w:rsidP="00000000" w:rsidRDefault="00000000" w:rsidRPr="00000000" w14:paraId="0000002C">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mission of EVOLENTITY is to establish a universal infrastructure for measuring trust in autonomous digital systems — enabling verifiable behavioral records to be translated into portable, standardized signals that support safe and scalable interaction across the global digital economy.</w:t>
      </w:r>
      <w:r w:rsidDel="00000000" w:rsidR="00000000" w:rsidRPr="00000000">
        <w:rPr>
          <w:rtl w:val="0"/>
        </w:rPr>
      </w:r>
    </w:p>
    <w:p w:rsidR="00000000" w:rsidDel="00000000" w:rsidP="00000000" w:rsidRDefault="00000000" w:rsidRPr="00000000" w14:paraId="0000002D">
      <w:pPr>
        <w:spacing w:after="120" w:before="0" w:lineRule="auto"/>
        <w:rPr/>
      </w:pPr>
      <w:r w:rsidDel="00000000" w:rsidR="00000000" w:rsidRPr="00000000">
        <w:rPr>
          <w:rtl w:val="0"/>
        </w:rPr>
      </w:r>
    </w:p>
    <w:p w:rsidR="00000000" w:rsidDel="00000000" w:rsidP="00000000" w:rsidRDefault="00000000" w:rsidRPr="00000000" w14:paraId="0000002E">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Trust, when observable and portable, reduces the barriers to cooperation between autonomous systems, lowers systemic risk, and enables the formation of markets that would otherwise require costly prior relationships or centralized intermediaries.</w:t>
      </w:r>
      <w:r w:rsidDel="00000000" w:rsidR="00000000" w:rsidRPr="00000000">
        <w:rPr>
          <w:rtl w:val="0"/>
        </w:rPr>
      </w:r>
    </w:p>
    <w:p w:rsidR="00000000" w:rsidDel="00000000" w:rsidP="00000000" w:rsidRDefault="00000000" w:rsidRPr="00000000" w14:paraId="0000002F">
      <w:pPr>
        <w:spacing w:after="120" w:before="0" w:lineRule="auto"/>
        <w:rPr/>
      </w:pPr>
      <w:r w:rsidDel="00000000" w:rsidR="00000000" w:rsidRPr="00000000">
        <w:rPr>
          <w:rtl w:val="0"/>
        </w:rPr>
      </w:r>
    </w:p>
    <w:p w:rsidR="00000000" w:rsidDel="00000000" w:rsidP="00000000" w:rsidRDefault="00000000" w:rsidRPr="00000000" w14:paraId="00000030">
      <w:pPr>
        <w:pBdr>
          <w:left w:color="9a7318" w:space="0" w:sz="18" w:val="single"/>
        </w:pBdr>
        <w:spacing w:after="240" w:before="240" w:lineRule="auto"/>
        <w:ind w:left="560" w:right="280" w:firstLine="0"/>
        <w:rPr/>
      </w:pPr>
      <w:r w:rsidDel="00000000" w:rsidR="00000000" w:rsidRPr="00000000">
        <w:rPr>
          <w:rFonts w:ascii="Calibri" w:cs="Calibri" w:eastAsia="Calibri" w:hAnsi="Calibri"/>
          <w:b w:val="1"/>
          <w:bCs w:val="1"/>
          <w:i w:val="1"/>
          <w:iCs w:val="1"/>
          <w:color w:val="0f2744"/>
          <w:sz w:val="24"/>
          <w:szCs w:val="24"/>
          <w:rtl w:val="0"/>
        </w:rPr>
        <w:t xml:space="preserve">We do not govern autonomous systems. We measure the conditions under which they become trustworthy.</w:t>
      </w:r>
      <w:r w:rsidDel="00000000" w:rsidR="00000000" w:rsidRPr="00000000">
        <w:rPr>
          <w:rtl w:val="0"/>
        </w:rPr>
      </w:r>
    </w:p>
    <w:p w:rsidR="00000000" w:rsidDel="00000000" w:rsidP="00000000" w:rsidRDefault="00000000" w:rsidRPr="00000000" w14:paraId="00000031">
      <w:pPr>
        <w:spacing w:after="320" w:before="0" w:lineRule="auto"/>
        <w:rPr/>
      </w:pPr>
      <w:r w:rsidDel="00000000" w:rsidR="00000000" w:rsidRPr="00000000">
        <w:rPr>
          <w:rtl w:val="0"/>
        </w:rPr>
      </w:r>
    </w:p>
    <w:p w:rsidR="00000000" w:rsidDel="00000000" w:rsidP="00000000" w:rsidRDefault="00000000" w:rsidRPr="00000000" w14:paraId="00000032">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02  </w:t>
      </w:r>
      <w:r w:rsidDel="00000000" w:rsidR="00000000" w:rsidRPr="00000000">
        <w:rPr>
          <w:rFonts w:ascii="Calibri" w:cs="Calibri" w:eastAsia="Calibri" w:hAnsi="Calibri"/>
          <w:b w:val="1"/>
          <w:bCs w:val="1"/>
          <w:color w:val="0f2744"/>
          <w:sz w:val="26"/>
          <w:szCs w:val="26"/>
          <w:rtl w:val="0"/>
        </w:rPr>
        <w:t xml:space="preserve">CORE DEFINITION</w:t>
      </w:r>
      <w:r w:rsidDel="00000000" w:rsidR="00000000" w:rsidRPr="00000000">
        <w:rPr>
          <w:rtl w:val="0"/>
        </w:rPr>
      </w:r>
    </w:p>
    <w:p w:rsidR="00000000" w:rsidDel="00000000" w:rsidP="00000000" w:rsidRDefault="00000000" w:rsidRPr="00000000" w14:paraId="00000033">
      <w:pPr>
        <w:spacing w:after="120" w:before="0" w:lineRule="auto"/>
        <w:rPr/>
      </w:pPr>
      <w:r w:rsidDel="00000000" w:rsidR="00000000" w:rsidRPr="00000000">
        <w:rPr>
          <w:rtl w:val="0"/>
        </w:rPr>
      </w:r>
    </w:p>
    <w:p w:rsidR="00000000" w:rsidDel="00000000" w:rsidP="00000000" w:rsidRDefault="00000000" w:rsidRPr="00000000" w14:paraId="00000034">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A Trust Measurement Infrastructure is a supra-platform layer that: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aggregates evidence from independent sources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assesses the level of trust associated with digital entities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generates standardized, machine-readable indicators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ensures the portability of assessment outputs across systems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provides information to support decisions — without making decisions on behalf of others</w:t>
      </w:r>
    </w:p>
    <w:p w:rsidR="00000000" w:rsidDel="00000000" w:rsidP="00000000" w:rsidRDefault="00000000" w:rsidRPr="00000000" w14:paraId="0000003A">
      <w:pPr>
        <w:spacing w:after="120" w:before="0" w:lineRule="auto"/>
        <w:rPr/>
      </w:pPr>
      <w:r w:rsidDel="00000000" w:rsidR="00000000" w:rsidRPr="00000000">
        <w:rPr>
          <w:rtl w:val="0"/>
        </w:rPr>
      </w:r>
    </w:p>
    <w:p w:rsidR="00000000" w:rsidDel="00000000" w:rsidP="00000000" w:rsidRDefault="00000000" w:rsidRPr="00000000" w14:paraId="0000003B">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infrastructure operates above and independently of any specific platform, jurisdiction, or technology stack. It serves as a shared measurement layer for the autonomous economy, analogous to the role that index providers and credit rating methodologies play in financial markets — generating information, not authority.</w:t>
      </w:r>
      <w:r w:rsidDel="00000000" w:rsidR="00000000" w:rsidRPr="00000000">
        <w:rPr>
          <w:rtl w:val="0"/>
        </w:rPr>
      </w:r>
    </w:p>
    <w:p w:rsidR="00000000" w:rsidDel="00000000" w:rsidP="00000000" w:rsidRDefault="00000000" w:rsidRPr="00000000" w14:paraId="0000003C">
      <w:pPr>
        <w:spacing w:after="320" w:before="0" w:lineRule="auto"/>
        <w:rPr/>
      </w:pPr>
      <w:r w:rsidDel="00000000" w:rsidR="00000000" w:rsidRPr="00000000">
        <w:rPr>
          <w:rtl w:val="0"/>
        </w:rPr>
      </w:r>
    </w:p>
    <w:p w:rsidR="00000000" w:rsidDel="00000000" w:rsidP="00000000" w:rsidRDefault="00000000" w:rsidRPr="00000000" w14:paraId="0000003D">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03  </w:t>
      </w:r>
      <w:r w:rsidDel="00000000" w:rsidR="00000000" w:rsidRPr="00000000">
        <w:rPr>
          <w:rFonts w:ascii="Calibri" w:cs="Calibri" w:eastAsia="Calibri" w:hAnsi="Calibri"/>
          <w:b w:val="1"/>
          <w:bCs w:val="1"/>
          <w:color w:val="0f2744"/>
          <w:sz w:val="26"/>
          <w:szCs w:val="26"/>
          <w:rtl w:val="0"/>
        </w:rPr>
        <w:t xml:space="preserve">SCOPE OF AUTHORITY</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tl w:val="0"/>
        </w:rPr>
      </w:r>
    </w:p>
    <w:p w:rsidR="00000000" w:rsidDel="00000000" w:rsidP="00000000" w:rsidRDefault="00000000" w:rsidRPr="00000000" w14:paraId="0000003F">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EVOLENTITY operates as an informational and measurement layer. Its scope is defined by what it enables, not by what it controls.</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tl w:val="0"/>
        </w:rPr>
      </w:r>
    </w:p>
    <w:p w:rsidR="00000000" w:rsidDel="00000000" w:rsidP="00000000" w:rsidRDefault="00000000" w:rsidRPr="00000000" w14:paraId="00000041">
      <w:pPr>
        <w:spacing w:after="60" w:before="120" w:lineRule="auto"/>
        <w:rPr/>
      </w:pPr>
      <w:r w:rsidDel="00000000" w:rsidR="00000000" w:rsidRPr="00000000">
        <w:rPr>
          <w:rFonts w:ascii="Calibri" w:cs="Calibri" w:eastAsia="Calibri" w:hAnsi="Calibri"/>
          <w:b w:val="1"/>
          <w:bCs w:val="1"/>
          <w:smallCaps w:val="1"/>
          <w:color w:val="8a9bb0"/>
          <w:sz w:val="19"/>
          <w:szCs w:val="19"/>
          <w:rtl w:val="0"/>
        </w:rPr>
        <w:t xml:space="preserve">THE INFRASTRUCTURE ENABLES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access to standardized trust indicators for any participating or assessed entity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portability of trust artifacts across ecosystems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market-level visibility into aggregate trust dynamics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support for informed decisions by principals, platforms, and regulators</w:t>
      </w:r>
    </w:p>
    <w:p w:rsidR="00000000" w:rsidDel="00000000" w:rsidP="00000000" w:rsidRDefault="00000000" w:rsidRPr="00000000" w14:paraId="00000046">
      <w:pPr>
        <w:spacing w:after="160" w:before="0" w:lineRule="auto"/>
        <w:rPr/>
      </w:pPr>
      <w:r w:rsidDel="00000000" w:rsidR="00000000" w:rsidRPr="00000000">
        <w:rPr>
          <w:rtl w:val="0"/>
        </w:rPr>
      </w:r>
    </w:p>
    <w:p w:rsidR="00000000" w:rsidDel="00000000" w:rsidP="00000000" w:rsidRDefault="00000000" w:rsidRPr="00000000" w14:paraId="00000047">
      <w:pPr>
        <w:spacing w:after="60" w:before="120" w:lineRule="auto"/>
        <w:rPr/>
      </w:pPr>
      <w:r w:rsidDel="00000000" w:rsidR="00000000" w:rsidRPr="00000000">
        <w:rPr>
          <w:rFonts w:ascii="Calibri" w:cs="Calibri" w:eastAsia="Calibri" w:hAnsi="Calibri"/>
          <w:b w:val="1"/>
          <w:bCs w:val="1"/>
          <w:smallCaps w:val="1"/>
          <w:color w:val="8a9bb0"/>
          <w:sz w:val="19"/>
          <w:szCs w:val="19"/>
          <w:rtl w:val="0"/>
        </w:rPr>
        <w:t xml:space="preserve">THE INFRASTRUCTURE DOES NOT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exercise control over the behavior of digital entities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issue sanctions, restrictions, or operational directives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assume regulatory or certification authority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serve as a mandatory gatekeeper for any market or platform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operate as an intermediary in transactional processes</w:t>
      </w:r>
    </w:p>
    <w:p w:rsidR="00000000" w:rsidDel="00000000" w:rsidP="00000000" w:rsidRDefault="00000000" w:rsidRPr="00000000" w14:paraId="0000004D">
      <w:pPr>
        <w:spacing w:after="120" w:before="0" w:lineRule="auto"/>
        <w:rPr/>
      </w:pPr>
      <w:r w:rsidDel="00000000" w:rsidR="00000000" w:rsidRPr="00000000">
        <w:rPr>
          <w:rtl w:val="0"/>
        </w:rPr>
      </w:r>
    </w:p>
    <w:p w:rsidR="00000000" w:rsidDel="00000000" w:rsidP="00000000" w:rsidRDefault="00000000" w:rsidRPr="00000000" w14:paraId="0000004E">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All decisions regarding interaction, access, or consequence remain the exclusive responsibility of the parties who choose to act on the trust indicators provided.</w:t>
      </w:r>
      <w:r w:rsidDel="00000000" w:rsidR="00000000" w:rsidRPr="00000000">
        <w:rPr>
          <w:rtl w:val="0"/>
        </w:rPr>
      </w:r>
    </w:p>
    <w:p w:rsidR="00000000" w:rsidDel="00000000" w:rsidP="00000000" w:rsidRDefault="00000000" w:rsidRPr="00000000" w14:paraId="0000004F">
      <w:pPr>
        <w:spacing w:after="320" w:before="0" w:lineRule="auto"/>
        <w:rPr/>
      </w:pPr>
      <w:r w:rsidDel="00000000" w:rsidR="00000000" w:rsidRPr="00000000">
        <w:rPr>
          <w:rtl w:val="0"/>
        </w:rPr>
      </w:r>
    </w:p>
    <w:p w:rsidR="00000000" w:rsidDel="00000000" w:rsidP="00000000" w:rsidRDefault="00000000" w:rsidRPr="00000000" w14:paraId="00000050">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04  </w:t>
      </w:r>
      <w:r w:rsidDel="00000000" w:rsidR="00000000" w:rsidRPr="00000000">
        <w:rPr>
          <w:rFonts w:ascii="Calibri" w:cs="Calibri" w:eastAsia="Calibri" w:hAnsi="Calibri"/>
          <w:b w:val="1"/>
          <w:bCs w:val="1"/>
          <w:color w:val="0f2744"/>
          <w:sz w:val="26"/>
          <w:szCs w:val="26"/>
          <w:rtl w:val="0"/>
        </w:rPr>
        <w:t xml:space="preserve">NEUTRALITY PRINCIPLE</w:t>
      </w:r>
      <w:r w:rsidDel="00000000" w:rsidR="00000000" w:rsidRPr="00000000">
        <w:rPr>
          <w:rtl w:val="0"/>
        </w:rPr>
      </w:r>
    </w:p>
    <w:p w:rsidR="00000000" w:rsidDel="00000000" w:rsidP="00000000" w:rsidRDefault="00000000" w:rsidRPr="00000000" w14:paraId="00000051">
      <w:pPr>
        <w:spacing w:after="120" w:before="0" w:lineRule="auto"/>
        <w:rPr/>
      </w:pPr>
      <w:r w:rsidDel="00000000" w:rsidR="00000000" w:rsidRPr="00000000">
        <w:rPr>
          <w:rtl w:val="0"/>
        </w:rPr>
      </w:r>
    </w:p>
    <w:p w:rsidR="00000000" w:rsidDel="00000000" w:rsidP="00000000" w:rsidRDefault="00000000" w:rsidRPr="00000000" w14:paraId="00000052">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is designed to be institutionally, technologically, and commercially neutral. Neutrality is not a posture — it is a structural requirement of a credible measurement layer.</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system does not favor any platform, vendor, or market participant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It does not require the use of proprietary identification or attestation methods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It is not subject to the regulatory regime of any single jurisdiction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Multiple independent implementations of the methodology are permissible and encouraged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infrastructure may be used by parties with competing commercial interests without preference</w:t>
      </w:r>
    </w:p>
    <w:p w:rsidR="00000000" w:rsidDel="00000000" w:rsidP="00000000" w:rsidRDefault="00000000" w:rsidRPr="00000000" w14:paraId="00000059">
      <w:pPr>
        <w:spacing w:after="120" w:before="0" w:lineRule="auto"/>
        <w:rPr/>
      </w:pPr>
      <w:r w:rsidDel="00000000" w:rsidR="00000000" w:rsidRPr="00000000">
        <w:rPr>
          <w:rtl w:val="0"/>
        </w:rPr>
      </w:r>
    </w:p>
    <w:p w:rsidR="00000000" w:rsidDel="00000000" w:rsidP="00000000" w:rsidRDefault="00000000" w:rsidRPr="00000000" w14:paraId="0000005A">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Maintaining neutrality enables the trust infrastructure to function as a shared public good rather than a competitive instrument.</w:t>
      </w:r>
      <w:r w:rsidDel="00000000" w:rsidR="00000000" w:rsidRPr="00000000">
        <w:rPr>
          <w:rtl w:val="0"/>
        </w:rPr>
      </w:r>
    </w:p>
    <w:p w:rsidR="00000000" w:rsidDel="00000000" w:rsidP="00000000" w:rsidRDefault="00000000" w:rsidRPr="00000000" w14:paraId="0000005B">
      <w:pPr>
        <w:spacing w:after="320" w:before="0" w:lineRule="auto"/>
        <w:rPr/>
      </w:pPr>
      <w:r w:rsidDel="00000000" w:rsidR="00000000" w:rsidRPr="00000000">
        <w:rPr>
          <w:rtl w:val="0"/>
        </w:rPr>
      </w:r>
    </w:p>
    <w:p w:rsidR="00000000" w:rsidDel="00000000" w:rsidP="00000000" w:rsidRDefault="00000000" w:rsidRPr="00000000" w14:paraId="0000005C">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05  </w:t>
      </w:r>
      <w:r w:rsidDel="00000000" w:rsidR="00000000" w:rsidRPr="00000000">
        <w:rPr>
          <w:rFonts w:ascii="Calibri" w:cs="Calibri" w:eastAsia="Calibri" w:hAnsi="Calibri"/>
          <w:b w:val="1"/>
          <w:bCs w:val="1"/>
          <w:color w:val="0f2744"/>
          <w:sz w:val="26"/>
          <w:szCs w:val="26"/>
          <w:rtl w:val="0"/>
        </w:rPr>
        <w:t xml:space="preserve">OPEN EVALUABILITY PRINCIPLE</w:t>
      </w:r>
      <w:r w:rsidDel="00000000" w:rsidR="00000000" w:rsidRPr="00000000">
        <w:rPr>
          <w:rtl w:val="0"/>
        </w:rPr>
      </w:r>
    </w:p>
    <w:p w:rsidR="00000000" w:rsidDel="00000000" w:rsidP="00000000" w:rsidRDefault="00000000" w:rsidRPr="00000000" w14:paraId="0000005D">
      <w:pPr>
        <w:spacing w:after="120" w:before="0" w:lineRule="auto"/>
        <w:rPr/>
      </w:pPr>
      <w:r w:rsidDel="00000000" w:rsidR="00000000" w:rsidRPr="00000000">
        <w:rPr>
          <w:rtl w:val="0"/>
        </w:rPr>
      </w:r>
    </w:p>
    <w:p w:rsidR="00000000" w:rsidDel="00000000" w:rsidP="00000000" w:rsidRDefault="00000000" w:rsidRPr="00000000" w14:paraId="0000005E">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Any digital entity may be assessed on the basis of available evidence, regardless of whether it has formally participated in the infrastructure. This principle is essential to the objectivity and utility of a global trust index.</w:t>
      </w:r>
      <w:r w:rsidDel="00000000" w:rsidR="00000000" w:rsidRPr="00000000">
        <w:rPr>
          <w:rtl w:val="0"/>
        </w:rPr>
      </w:r>
    </w:p>
    <w:p w:rsidR="00000000" w:rsidDel="00000000" w:rsidP="00000000" w:rsidRDefault="00000000" w:rsidRPr="00000000" w14:paraId="0000005F">
      <w:pPr>
        <w:spacing w:after="120" w:before="0" w:lineRule="auto"/>
        <w:rPr/>
      </w:pPr>
      <w:r w:rsidDel="00000000" w:rsidR="00000000" w:rsidRPr="00000000">
        <w:rPr>
          <w:rtl w:val="0"/>
        </w:rPr>
      </w:r>
    </w:p>
    <w:p w:rsidR="00000000" w:rsidDel="00000000" w:rsidP="00000000" w:rsidRDefault="00000000" w:rsidRPr="00000000" w14:paraId="00000060">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may incorporate information from publicly available sources, independently verified records, third-party attestations, observational data, and other lawful channels, without requiring reliance on any proprietary method.</w:t>
      </w:r>
      <w:r w:rsidDel="00000000" w:rsidR="00000000" w:rsidRPr="00000000">
        <w:rPr>
          <w:rtl w:val="0"/>
        </w:rPr>
      </w:r>
    </w:p>
    <w:p w:rsidR="00000000" w:rsidDel="00000000" w:rsidP="00000000" w:rsidRDefault="00000000" w:rsidRPr="00000000" w14:paraId="00000061">
      <w:pPr>
        <w:spacing w:after="120" w:before="0" w:lineRule="auto"/>
        <w:rPr/>
      </w:pPr>
      <w:r w:rsidDel="00000000" w:rsidR="00000000" w:rsidRPr="00000000">
        <w:rPr>
          <w:rtl w:val="0"/>
        </w:rPr>
      </w:r>
    </w:p>
    <w:p w:rsidR="00000000" w:rsidDel="00000000" w:rsidP="00000000" w:rsidRDefault="00000000" w:rsidRPr="00000000" w14:paraId="00000062">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breadth of eligible evidence sources ensures that the trust signal reflects real-world behavior rather than formal enrollment status, and that assessments remain grounded in observable fact.</w:t>
      </w:r>
      <w:r w:rsidDel="00000000" w:rsidR="00000000" w:rsidRPr="00000000">
        <w:rPr>
          <w:rtl w:val="0"/>
        </w:rPr>
      </w:r>
    </w:p>
    <w:p w:rsidR="00000000" w:rsidDel="00000000" w:rsidP="00000000" w:rsidRDefault="00000000" w:rsidRPr="00000000" w14:paraId="00000063">
      <w:pPr>
        <w:spacing w:after="320" w:before="0" w:lineRule="auto"/>
        <w:rPr/>
      </w:pPr>
      <w:r w:rsidDel="00000000" w:rsidR="00000000" w:rsidRPr="00000000">
        <w:rPr>
          <w:rtl w:val="0"/>
        </w:rPr>
      </w:r>
    </w:p>
    <w:p w:rsidR="00000000" w:rsidDel="00000000" w:rsidP="00000000" w:rsidRDefault="00000000" w:rsidRPr="00000000" w14:paraId="00000064">
      <w:pPr>
        <w:pBdr>
          <w:bottom w:color="d6dce6" w:space="0" w:sz="6" w:val="single"/>
        </w:pBdr>
        <w:spacing w:after="120" w:before="400" w:lineRule="auto"/>
        <w:rPr>
          <w:b w:val="1"/>
          <w:bCs w:val="1"/>
          <w:color w:val="9a7318"/>
          <w:sz w:val="26"/>
          <w:szCs w:val="26"/>
        </w:rPr>
      </w:pPr>
      <w:r w:rsidDel="00000000" w:rsidR="00000000" w:rsidRPr="00000000">
        <w:rPr>
          <w:rtl w:val="0"/>
        </w:rPr>
      </w:r>
    </w:p>
    <w:p w:rsidR="00000000" w:rsidDel="00000000" w:rsidP="00000000" w:rsidRDefault="00000000" w:rsidRPr="00000000" w14:paraId="00000065">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06  </w:t>
      </w:r>
      <w:r w:rsidDel="00000000" w:rsidR="00000000" w:rsidRPr="00000000">
        <w:rPr>
          <w:rFonts w:ascii="Calibri" w:cs="Calibri" w:eastAsia="Calibri" w:hAnsi="Calibri"/>
          <w:b w:val="1"/>
          <w:bCs w:val="1"/>
          <w:color w:val="0f2744"/>
          <w:sz w:val="26"/>
          <w:szCs w:val="26"/>
          <w:rtl w:val="0"/>
        </w:rPr>
        <w:t xml:space="preserve">EVIDENCE HIERARCHY PRINCIPLE</w:t>
      </w:r>
      <w:r w:rsidDel="00000000" w:rsidR="00000000" w:rsidRPr="00000000">
        <w:rPr>
          <w:rtl w:val="0"/>
        </w:rPr>
      </w:r>
    </w:p>
    <w:p w:rsidR="00000000" w:rsidDel="00000000" w:rsidP="00000000" w:rsidRDefault="00000000" w:rsidRPr="00000000" w14:paraId="00000066">
      <w:pPr>
        <w:spacing w:after="120" w:before="0" w:lineRule="auto"/>
        <w:rPr/>
      </w:pPr>
      <w:r w:rsidDel="00000000" w:rsidR="00000000" w:rsidRPr="00000000">
        <w:rPr>
          <w:rtl w:val="0"/>
        </w:rPr>
      </w:r>
    </w:p>
    <w:p w:rsidR="00000000" w:rsidDel="00000000" w:rsidP="00000000" w:rsidRDefault="00000000" w:rsidRPr="00000000" w14:paraId="00000067">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Assessments are structured according to a principled hierarchy of evidence quality. The composite trust signal reflects both the assessed value and the degree to which that value is supported by high-quality, independently verifiable evidence.</w:t>
      </w:r>
      <w:r w:rsidDel="00000000" w:rsidR="00000000" w:rsidRPr="00000000">
        <w:rPr>
          <w:rtl w:val="0"/>
        </w:rPr>
      </w:r>
    </w:p>
    <w:p w:rsidR="00000000" w:rsidDel="00000000" w:rsidP="00000000" w:rsidRDefault="00000000" w:rsidRPr="00000000" w14:paraId="00000068">
      <w:pPr>
        <w:spacing w:after="200" w:before="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900"/>
        <w:gridCol w:w="5138"/>
        <w:tblGridChange w:id="0">
          <w:tblGrid>
            <w:gridCol w:w="1600"/>
            <w:gridCol w:w="2900"/>
            <w:gridCol w:w="51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9a7318"/>
                <w:sz w:val="19"/>
                <w:szCs w:val="19"/>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ffffff"/>
                <w:sz w:val="19"/>
                <w:szCs w:val="19"/>
                <w:rtl w:val="0"/>
              </w:rPr>
              <w:t xml:space="preserve">Evidence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2744" w:val="clear"/>
            <w:tcMar>
              <w:top w:w="100.0" w:type="dxa"/>
              <w:left w:w="160.0" w:type="dxa"/>
              <w:bottom w:w="100.0" w:type="dxa"/>
              <w:right w:w="160.0" w:type="dxa"/>
            </w:tcMa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ffffff"/>
                <w:sz w:val="19"/>
                <w:szCs w:val="19"/>
                <w:rtl w:val="0"/>
              </w:rPr>
              <w:t xml:space="preserve">Illustrative Sources</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80.0" w:type="dxa"/>
              <w:left w:w="160.0" w:type="dxa"/>
              <w:bottom w:w="80.0" w:type="dxa"/>
              <w:right w:w="160.0" w:type="dxa"/>
            </w:tcMar>
          </w:tcPr>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9a7318"/>
                <w:sz w:val="19"/>
                <w:szCs w:val="19"/>
                <w:rtl w:val="0"/>
              </w:rPr>
              <w:t xml:space="preserve">Primary</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80.0" w:type="dxa"/>
              <w:left w:w="160.0" w:type="dxa"/>
              <w:bottom w:w="80.0" w:type="dxa"/>
              <w:right w:w="16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color w:val="0a1628"/>
                <w:sz w:val="20"/>
                <w:szCs w:val="20"/>
                <w:rtl w:val="0"/>
              </w:rPr>
              <w:t xml:space="preserve">Hardware-attested evidence</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80.0" w:type="dxa"/>
              <w:left w:w="160.0" w:type="dxa"/>
              <w:bottom w:w="80.0" w:type="dxa"/>
              <w:right w:w="160.0" w:type="dxa"/>
            </w:tcMar>
          </w:tcPr>
          <w:p w:rsidR="00000000" w:rsidDel="00000000" w:rsidP="00000000" w:rsidRDefault="00000000" w:rsidRPr="00000000" w14:paraId="0000006E">
            <w:pPr>
              <w:rPr/>
            </w:pPr>
            <w:r w:rsidDel="00000000" w:rsidR="00000000" w:rsidRPr="00000000">
              <w:rPr>
                <w:rFonts w:ascii="Calibri" w:cs="Calibri" w:eastAsia="Calibri" w:hAnsi="Calibri"/>
                <w:i w:val="1"/>
                <w:iCs w:val="1"/>
                <w:color w:val="8a9bb0"/>
                <w:sz w:val="19"/>
                <w:szCs w:val="19"/>
                <w:rtl w:val="0"/>
              </w:rPr>
              <w:t xml:space="preserve">Secure enclave attestations, trusted execution environments</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fffff" w:val="clear"/>
            <w:tcMar>
              <w:top w:w="80.0" w:type="dxa"/>
              <w:left w:w="160.0" w:type="dxa"/>
              <w:bottom w:w="80.0" w:type="dxa"/>
              <w:right w:w="160.0" w:type="dxa"/>
            </w:tcMar>
          </w:tcPr>
          <w:p w:rsidR="00000000" w:rsidDel="00000000" w:rsidP="00000000" w:rsidRDefault="00000000" w:rsidRPr="00000000" w14:paraId="0000006F">
            <w:pPr>
              <w:jc w:val="center"/>
              <w:rPr/>
            </w:pPr>
            <w:r w:rsidDel="00000000" w:rsidR="00000000" w:rsidRPr="00000000">
              <w:rPr>
                <w:rFonts w:ascii="Calibri" w:cs="Calibri" w:eastAsia="Calibri" w:hAnsi="Calibri"/>
                <w:b w:val="1"/>
                <w:bCs w:val="1"/>
                <w:color w:val="9a7318"/>
                <w:sz w:val="19"/>
                <w:szCs w:val="19"/>
                <w:rtl w:val="0"/>
              </w:rPr>
              <w:t xml:space="preserve">Secondary</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0a1628"/>
                <w:sz w:val="20"/>
                <w:szCs w:val="20"/>
                <w:rtl w:val="0"/>
              </w:rPr>
              <w:t xml:space="preserve">Software-verified evidence</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Calibri" w:cs="Calibri" w:eastAsia="Calibri" w:hAnsi="Calibri"/>
                <w:i w:val="1"/>
                <w:iCs w:val="1"/>
                <w:color w:val="8a9bb0"/>
                <w:sz w:val="19"/>
                <w:szCs w:val="19"/>
                <w:rtl w:val="0"/>
              </w:rPr>
              <w:t xml:space="preserve">Cryptographic proofs, signed records, verifiable credentials</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7f5f0" w:val="clear"/>
            <w:tcMar>
              <w:top w:w="80.0" w:type="dxa"/>
              <w:left w:w="160.0" w:type="dxa"/>
              <w:bottom w:w="80.0" w:type="dxa"/>
              <w:right w:w="16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9a7318"/>
                <w:sz w:val="19"/>
                <w:szCs w:val="19"/>
                <w:rtl w:val="0"/>
              </w:rPr>
              <w:t xml:space="preserve">Tertiary</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rFonts w:ascii="Calibri" w:cs="Calibri" w:eastAsia="Calibri" w:hAnsi="Calibri"/>
                <w:b w:val="1"/>
                <w:bCs w:val="1"/>
                <w:color w:val="0a1628"/>
                <w:sz w:val="20"/>
                <w:szCs w:val="20"/>
                <w:rtl w:val="0"/>
              </w:rPr>
              <w:t xml:space="preserve">Observational evidence</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7f5f0"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Calibri" w:cs="Calibri" w:eastAsia="Calibri" w:hAnsi="Calibri"/>
                <w:i w:val="1"/>
                <w:iCs w:val="1"/>
                <w:color w:val="8a9bb0"/>
                <w:sz w:val="19"/>
                <w:szCs w:val="19"/>
                <w:rtl w:val="0"/>
              </w:rPr>
              <w:t xml:space="preserve">Behavioral logs, interaction records, outcome histories</w:t>
            </w:r>
            <w:r w:rsidDel="00000000" w:rsidR="00000000" w:rsidRPr="00000000">
              <w:rPr>
                <w:rtl w:val="0"/>
              </w:rPr>
            </w:r>
          </w:p>
        </w:tc>
      </w:tr>
      <w:tr>
        <w:trPr>
          <w:cantSplit w:val="0"/>
          <w:tblHeader w:val="0"/>
        </w:trPr>
        <w:tc>
          <w:tcPr>
            <w:tcBorders>
              <w:top w:color="d6dce6" w:space="0" w:sz="4" w:val="single"/>
              <w:left w:color="d6dce6" w:space="0" w:sz="4" w:val="single"/>
              <w:bottom w:color="d6dce6" w:space="0" w:sz="4" w:val="single"/>
              <w:right w:color="d6dce6" w:space="0" w:sz="4" w:val="single"/>
            </w:tcBorders>
            <w:shd w:fill="ffffff" w:val="clear"/>
            <w:tcMar>
              <w:top w:w="80.0" w:type="dxa"/>
              <w:left w:w="160.0" w:type="dxa"/>
              <w:bottom w:w="80.0" w:type="dxa"/>
              <w:right w:w="160.0" w:type="dxa"/>
            </w:tcMar>
          </w:tcPr>
          <w:p w:rsidR="00000000" w:rsidDel="00000000" w:rsidP="00000000" w:rsidRDefault="00000000" w:rsidRPr="00000000" w14:paraId="00000075">
            <w:pPr>
              <w:jc w:val="center"/>
              <w:rPr/>
            </w:pPr>
            <w:r w:rsidDel="00000000" w:rsidR="00000000" w:rsidRPr="00000000">
              <w:rPr>
                <w:rFonts w:ascii="Calibri" w:cs="Calibri" w:eastAsia="Calibri" w:hAnsi="Calibri"/>
                <w:b w:val="1"/>
                <w:bCs w:val="1"/>
                <w:color w:val="9a7318"/>
                <w:sz w:val="19"/>
                <w:szCs w:val="19"/>
                <w:rtl w:val="0"/>
              </w:rPr>
              <w:t xml:space="preserve">Supplementary</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0a1628"/>
                <w:sz w:val="20"/>
                <w:szCs w:val="20"/>
                <w:rtl w:val="0"/>
              </w:rPr>
              <w:t xml:space="preserve">Third-party attestations</w:t>
            </w:r>
            <w:r w:rsidDel="00000000" w:rsidR="00000000" w:rsidRPr="00000000">
              <w:rPr>
                <w:rtl w:val="0"/>
              </w:rPr>
            </w:r>
          </w:p>
        </w:tc>
        <w:tc>
          <w:tcPr>
            <w:tcBorders>
              <w:top w:color="d6dce6" w:space="0" w:sz="4" w:val="single"/>
              <w:left w:color="d6dce6" w:space="0" w:sz="4" w:val="single"/>
              <w:bottom w:color="d6dce6" w:space="0" w:sz="4" w:val="single"/>
              <w:right w:color="d6dce6" w:space="0" w:sz="4" w:val="single"/>
            </w:tcBorders>
            <w:shd w:fill="ffffff" w:val="clear"/>
            <w:tcMar>
              <w:top w:w="80.0" w:type="dxa"/>
              <w:left w:w="160.0" w:type="dxa"/>
              <w:bottom w:w="80.0" w:type="dxa"/>
              <w:right w:w="160.0" w:type="dxa"/>
            </w:tcMar>
          </w:tcPr>
          <w:p w:rsidR="00000000" w:rsidDel="00000000" w:rsidP="00000000" w:rsidRDefault="00000000" w:rsidRPr="00000000" w14:paraId="00000077">
            <w:pPr>
              <w:rPr/>
            </w:pPr>
            <w:r w:rsidDel="00000000" w:rsidR="00000000" w:rsidRPr="00000000">
              <w:rPr>
                <w:rFonts w:ascii="Calibri" w:cs="Calibri" w:eastAsia="Calibri" w:hAnsi="Calibri"/>
                <w:i w:val="1"/>
                <w:iCs w:val="1"/>
                <w:color w:val="8a9bb0"/>
                <w:sz w:val="19"/>
                <w:szCs w:val="19"/>
                <w:rtl w:val="0"/>
              </w:rPr>
              <w:t xml:space="preserve">External audits, certification records, regulatory filings</w:t>
            </w:r>
            <w:r w:rsidDel="00000000" w:rsidR="00000000" w:rsidRPr="00000000">
              <w:rPr>
                <w:rtl w:val="0"/>
              </w:rPr>
            </w:r>
          </w:p>
        </w:tc>
      </w:tr>
    </w:tbl>
    <w:p w:rsidR="00000000" w:rsidDel="00000000" w:rsidP="00000000" w:rsidRDefault="00000000" w:rsidRPr="00000000" w14:paraId="00000078">
      <w:pPr>
        <w:spacing w:after="200" w:before="0" w:lineRule="auto"/>
        <w:rPr/>
      </w:pPr>
      <w:r w:rsidDel="00000000" w:rsidR="00000000" w:rsidRPr="00000000">
        <w:rPr>
          <w:rtl w:val="0"/>
        </w:rPr>
      </w:r>
    </w:p>
    <w:p w:rsidR="00000000" w:rsidDel="00000000" w:rsidP="00000000" w:rsidRDefault="00000000" w:rsidRPr="00000000" w14:paraId="00000079">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No single class of evidence is considered sufficient in isolation for high-stakes assessments. The methodology </w:t>
      </w:r>
      <w:r w:rsidDel="00000000" w:rsidR="00000000" w:rsidRPr="00000000">
        <w:rPr>
          <w:i w:val="1"/>
          <w:iCs w:val="1"/>
          <w:rtl w:val="0"/>
        </w:rPr>
        <w:t xml:space="preserve">weighs</w:t>
      </w:r>
      <w:r w:rsidDel="00000000" w:rsidR="00000000" w:rsidRPr="00000000">
        <w:rPr>
          <w:rFonts w:ascii="Calibri" w:cs="Calibri" w:eastAsia="Calibri" w:hAnsi="Calibri"/>
          <w:b w:val="0"/>
          <w:bCs w:val="0"/>
          <w:i w:val="1"/>
          <w:iCs w:val="1"/>
          <w:color w:val="0a1628"/>
          <w:sz w:val="22"/>
          <w:szCs w:val="22"/>
          <w:rtl w:val="0"/>
        </w:rPr>
        <w:t xml:space="preserve"> evidence according to its verifiability, independence, and resistance to manipulation.</w:t>
      </w:r>
      <w:r w:rsidDel="00000000" w:rsidR="00000000" w:rsidRPr="00000000">
        <w:rPr>
          <w:rtl w:val="0"/>
        </w:rPr>
      </w:r>
    </w:p>
    <w:p w:rsidR="00000000" w:rsidDel="00000000" w:rsidP="00000000" w:rsidRDefault="00000000" w:rsidRPr="00000000" w14:paraId="0000007A">
      <w:pPr>
        <w:spacing w:after="320" w:before="0" w:lineRule="auto"/>
        <w:rPr/>
      </w:pPr>
      <w:r w:rsidDel="00000000" w:rsidR="00000000" w:rsidRPr="00000000">
        <w:rPr>
          <w:rtl w:val="0"/>
        </w:rPr>
      </w:r>
    </w:p>
    <w:p w:rsidR="00000000" w:rsidDel="00000000" w:rsidP="00000000" w:rsidRDefault="00000000" w:rsidRPr="00000000" w14:paraId="0000007B">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07  </w:t>
      </w:r>
      <w:r w:rsidDel="00000000" w:rsidR="00000000" w:rsidRPr="00000000">
        <w:rPr>
          <w:rFonts w:ascii="Calibri" w:cs="Calibri" w:eastAsia="Calibri" w:hAnsi="Calibri"/>
          <w:b w:val="1"/>
          <w:bCs w:val="1"/>
          <w:color w:val="0f2744"/>
          <w:sz w:val="26"/>
          <w:szCs w:val="26"/>
          <w:rtl w:val="0"/>
        </w:rPr>
        <w:t xml:space="preserve">PORTABILITY PRINCIPLE</w:t>
      </w:r>
      <w:r w:rsidDel="00000000" w:rsidR="00000000" w:rsidRPr="00000000">
        <w:rPr>
          <w:rtl w:val="0"/>
        </w:rPr>
      </w:r>
    </w:p>
    <w:p w:rsidR="00000000" w:rsidDel="00000000" w:rsidP="00000000" w:rsidRDefault="00000000" w:rsidRPr="00000000" w14:paraId="0000007C">
      <w:pPr>
        <w:spacing w:after="120" w:before="0" w:lineRule="auto"/>
        <w:rPr/>
      </w:pPr>
      <w:r w:rsidDel="00000000" w:rsidR="00000000" w:rsidRPr="00000000">
        <w:rPr>
          <w:rtl w:val="0"/>
        </w:rPr>
      </w:r>
    </w:p>
    <w:p w:rsidR="00000000" w:rsidDel="00000000" w:rsidP="00000000" w:rsidRDefault="00000000" w:rsidRPr="00000000" w14:paraId="0000007D">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Trust assessment outputs are produced as structured, machine-readable artifacts that can be transferred between systems, ecosystems, and jurisdictions. Portability is a defining characteristic of a mature trust infrastructure.</w:t>
      </w:r>
      <w:r w:rsidDel="00000000" w:rsidR="00000000" w:rsidRPr="00000000">
        <w:rPr>
          <w:rtl w:val="0"/>
        </w:rPr>
      </w:r>
    </w:p>
    <w:p w:rsidR="00000000" w:rsidDel="00000000" w:rsidP="00000000" w:rsidRDefault="00000000" w:rsidRPr="00000000" w14:paraId="0000007E">
      <w:pPr>
        <w:spacing w:after="120" w:before="0" w:lineRule="auto"/>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Artifacts can be transmitted and consumed without querying the originating assessment system</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assessed entity or a designated custodian retains custody of the trust artifact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Artifacts carry defined validity periods appropriate to the context of assessment</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Cross-system recognition is enabled without requiring direct integration between platforms</w:t>
      </w:r>
    </w:p>
    <w:p w:rsidR="00000000" w:rsidDel="00000000" w:rsidP="00000000" w:rsidRDefault="00000000" w:rsidRPr="00000000" w14:paraId="00000083">
      <w:pPr>
        <w:spacing w:after="320" w:before="0" w:lineRule="auto"/>
        <w:rPr/>
      </w:pPr>
      <w:r w:rsidDel="00000000" w:rsidR="00000000" w:rsidRPr="00000000">
        <w:rPr>
          <w:rtl w:val="0"/>
        </w:rPr>
      </w:r>
    </w:p>
    <w:p w:rsidR="00000000" w:rsidDel="00000000" w:rsidP="00000000" w:rsidRDefault="00000000" w:rsidRPr="00000000" w14:paraId="00000084">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08  </w:t>
      </w:r>
      <w:r w:rsidDel="00000000" w:rsidR="00000000" w:rsidRPr="00000000">
        <w:rPr>
          <w:rFonts w:ascii="Calibri" w:cs="Calibri" w:eastAsia="Calibri" w:hAnsi="Calibri"/>
          <w:b w:val="1"/>
          <w:bCs w:val="1"/>
          <w:color w:val="0f2744"/>
          <w:sz w:val="26"/>
          <w:szCs w:val="26"/>
          <w:rtl w:val="0"/>
        </w:rPr>
        <w:t xml:space="preserve">DECENTRALIZATION PRINCIPLE</w:t>
      </w:r>
      <w:r w:rsidDel="00000000" w:rsidR="00000000" w:rsidRPr="00000000">
        <w:rPr>
          <w:rtl w:val="0"/>
        </w:rPr>
      </w:r>
    </w:p>
    <w:p w:rsidR="00000000" w:rsidDel="00000000" w:rsidP="00000000" w:rsidRDefault="00000000" w:rsidRPr="00000000" w14:paraId="00000085">
      <w:pPr>
        <w:spacing w:after="120" w:before="0" w:lineRule="auto"/>
        <w:rPr/>
      </w:pPr>
      <w:r w:rsidDel="00000000" w:rsidR="00000000" w:rsidRPr="00000000">
        <w:rPr>
          <w:rtl w:val="0"/>
        </w:rPr>
      </w:r>
    </w:p>
    <w:p w:rsidR="00000000" w:rsidDel="00000000" w:rsidP="00000000" w:rsidRDefault="00000000" w:rsidRPr="00000000" w14:paraId="00000086">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is designed to avoid creating systemic dependencies on any single computation or storage point. Decentralization serves the resilience, integrity, and autonomy of the broader ecosystem.</w:t>
      </w:r>
      <w:r w:rsidDel="00000000" w:rsidR="00000000" w:rsidRPr="00000000">
        <w:rPr>
          <w:rtl w:val="0"/>
        </w:rPr>
      </w:r>
    </w:p>
    <w:p w:rsidR="00000000" w:rsidDel="00000000" w:rsidP="00000000" w:rsidRDefault="00000000" w:rsidRPr="00000000" w14:paraId="00000087">
      <w:pPr>
        <w:spacing w:after="120" w:before="0" w:lineRule="auto"/>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infrastructure is not required to retain assessment outputs after delivery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Entity-held artifacts eliminate the need for centralized retrieval registries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architecture supports distributed verification without a single point of failure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Decentralization of results limits the potential for centralized profiling or surveillance</w:t>
      </w:r>
    </w:p>
    <w:p w:rsidR="00000000" w:rsidDel="00000000" w:rsidP="00000000" w:rsidRDefault="00000000" w:rsidRPr="00000000" w14:paraId="0000008C">
      <w:pPr>
        <w:spacing w:after="320" w:before="0" w:lineRule="auto"/>
        <w:rPr/>
      </w:pPr>
      <w:r w:rsidDel="00000000" w:rsidR="00000000" w:rsidRPr="00000000">
        <w:rPr>
          <w:rtl w:val="0"/>
        </w:rPr>
      </w:r>
    </w:p>
    <w:p w:rsidR="00000000" w:rsidDel="00000000" w:rsidP="00000000" w:rsidRDefault="00000000" w:rsidRPr="00000000" w14:paraId="0000008D">
      <w:pPr>
        <w:pBdr>
          <w:bottom w:color="d6dce6" w:space="0" w:sz="6" w:val="single"/>
        </w:pBdr>
        <w:spacing w:after="120" w:before="400" w:lineRule="auto"/>
        <w:rPr>
          <w:b w:val="1"/>
          <w:bCs w:val="1"/>
          <w:color w:val="9a7318"/>
          <w:sz w:val="26"/>
          <w:szCs w:val="26"/>
        </w:rPr>
      </w:pPr>
      <w:r w:rsidDel="00000000" w:rsidR="00000000" w:rsidRPr="00000000">
        <w:rPr>
          <w:rtl w:val="0"/>
        </w:rPr>
      </w:r>
    </w:p>
    <w:p w:rsidR="00000000" w:rsidDel="00000000" w:rsidP="00000000" w:rsidRDefault="00000000" w:rsidRPr="00000000" w14:paraId="0000008E">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09  </w:t>
      </w:r>
      <w:r w:rsidDel="00000000" w:rsidR="00000000" w:rsidRPr="00000000">
        <w:rPr>
          <w:rFonts w:ascii="Calibri" w:cs="Calibri" w:eastAsia="Calibri" w:hAnsi="Calibri"/>
          <w:b w:val="1"/>
          <w:bCs w:val="1"/>
          <w:color w:val="0f2744"/>
          <w:sz w:val="26"/>
          <w:szCs w:val="26"/>
          <w:rtl w:val="0"/>
        </w:rPr>
        <w:t xml:space="preserve">ANTI-MANIPULATION PRINCIPLE</w:t>
      </w:r>
      <w:r w:rsidDel="00000000" w:rsidR="00000000" w:rsidRPr="00000000">
        <w:rPr>
          <w:rtl w:val="0"/>
        </w:rPr>
      </w:r>
    </w:p>
    <w:p w:rsidR="00000000" w:rsidDel="00000000" w:rsidP="00000000" w:rsidRDefault="00000000" w:rsidRPr="00000000" w14:paraId="0000008F">
      <w:pPr>
        <w:spacing w:after="120" w:before="0" w:lineRule="auto"/>
        <w:rPr/>
      </w:pPr>
      <w:r w:rsidDel="00000000" w:rsidR="00000000" w:rsidRPr="00000000">
        <w:rPr>
          <w:rtl w:val="0"/>
        </w:rPr>
      </w:r>
    </w:p>
    <w:p w:rsidR="00000000" w:rsidDel="00000000" w:rsidP="00000000" w:rsidRDefault="00000000" w:rsidRPr="00000000" w14:paraId="00000090">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integrity of a trust index depends on its resistance to artificial inflation of trust signals. The methodology incorporates structural safeguards against manipulation at both the individual and systemic levels.</w:t>
      </w:r>
      <w:r w:rsidDel="00000000" w:rsidR="00000000" w:rsidRPr="00000000">
        <w:rPr>
          <w:rtl w:val="0"/>
        </w:rPr>
      </w:r>
    </w:p>
    <w:p w:rsidR="00000000" w:rsidDel="00000000" w:rsidP="00000000" w:rsidRDefault="00000000" w:rsidRPr="00000000" w14:paraId="00000091">
      <w:pPr>
        <w:spacing w:after="120" w:before="0" w:lineRule="auto"/>
        <w:rPr/>
      </w:pPr>
      <w:r w:rsidDel="00000000" w:rsidR="00000000" w:rsidRPr="00000000">
        <w:rPr>
          <w:rtl w:val="0"/>
        </w:rPr>
      </w:r>
    </w:p>
    <w:p w:rsidR="00000000" w:rsidDel="00000000" w:rsidP="00000000" w:rsidRDefault="00000000" w:rsidRPr="00000000" w14:paraId="00000092">
      <w:pPr>
        <w:spacing w:after="120" w:before="60" w:lineRule="auto"/>
        <w:jc w:val="left"/>
        <w:rPr/>
      </w:pPr>
      <w:r w:rsidDel="00000000" w:rsidR="00000000" w:rsidRPr="00000000">
        <w:rPr>
          <w:rFonts w:ascii="Calibri" w:cs="Calibri" w:eastAsia="Calibri" w:hAnsi="Calibri"/>
          <w:b w:val="0"/>
          <w:bCs w:val="0"/>
          <w:i w:val="0"/>
          <w:iCs w:val="0"/>
          <w:color w:val="0a1628"/>
          <w:sz w:val="22"/>
          <w:szCs w:val="22"/>
          <w:rtl w:val="0"/>
        </w:rPr>
        <w:t xml:space="preserve">Design protections address the following manipulation vectors: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Coordinated source inflation — where related parties generate mutually reinforcing signals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Cyclical interaction amplification — where repeated low-value interactions produce disproportionate scores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Adversarial data injection — where synthetic or fabricated records are introduced into the evidence base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Single-source dominance — where an excessive weighting of one channel distorts the aggregate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Rapid score arbitrage — where short-term behavioral modification is used to exploit scoring windows</w:t>
      </w:r>
    </w:p>
    <w:p w:rsidR="00000000" w:rsidDel="00000000" w:rsidP="00000000" w:rsidRDefault="00000000" w:rsidRPr="00000000" w14:paraId="00000098">
      <w:pPr>
        <w:spacing w:after="320" w:before="0" w:lineRule="auto"/>
        <w:rPr/>
      </w:pPr>
      <w:r w:rsidDel="00000000" w:rsidR="00000000" w:rsidRPr="00000000">
        <w:rPr>
          <w:rtl w:val="0"/>
        </w:rPr>
      </w:r>
    </w:p>
    <w:p w:rsidR="00000000" w:rsidDel="00000000" w:rsidP="00000000" w:rsidRDefault="00000000" w:rsidRPr="00000000" w14:paraId="00000099">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10  </w:t>
      </w:r>
      <w:r w:rsidDel="00000000" w:rsidR="00000000" w:rsidRPr="00000000">
        <w:rPr>
          <w:rFonts w:ascii="Calibri" w:cs="Calibri" w:eastAsia="Calibri" w:hAnsi="Calibri"/>
          <w:b w:val="1"/>
          <w:bCs w:val="1"/>
          <w:color w:val="0f2744"/>
          <w:sz w:val="26"/>
          <w:szCs w:val="26"/>
          <w:rtl w:val="0"/>
        </w:rPr>
        <w:t xml:space="preserve">DYNAMIC ASSESSMENT PRINCIPLE</w:t>
      </w: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rtl w:val="0"/>
        </w:rPr>
      </w:r>
    </w:p>
    <w:p w:rsidR="00000000" w:rsidDel="00000000" w:rsidP="00000000" w:rsidRDefault="00000000" w:rsidRPr="00000000" w14:paraId="0000009B">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Trust is not a fixed property. It emerges from behavior over time and must be assessed dynamically to remain accurate and useful.</w:t>
      </w:r>
      <w:r w:rsidDel="00000000" w:rsidR="00000000" w:rsidRPr="00000000">
        <w:rPr>
          <w:rtl w:val="0"/>
        </w:rPr>
      </w:r>
    </w:p>
    <w:p w:rsidR="00000000" w:rsidDel="00000000" w:rsidP="00000000" w:rsidRDefault="00000000" w:rsidRPr="00000000" w14:paraId="0000009C">
      <w:pPr>
        <w:spacing w:after="120" w:before="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Assessments are updated as new behavioral evidence becomes available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 temporal decay mechanism ensures that historical signals are weighted appropriately relative to recent behavior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Assessments may be recalculated at any point on the basis of the available evidence at that time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Sudden and significant changes in behavioral patterns are reflected in the assessment signal</w:t>
      </w:r>
    </w:p>
    <w:p w:rsidR="00000000" w:rsidDel="00000000" w:rsidP="00000000" w:rsidRDefault="00000000" w:rsidRPr="00000000" w14:paraId="000000A1">
      <w:pPr>
        <w:spacing w:after="320" w:before="0" w:lineRule="auto"/>
        <w:rPr/>
      </w:pPr>
      <w:r w:rsidDel="00000000" w:rsidR="00000000" w:rsidRPr="00000000">
        <w:rPr>
          <w:rtl w:val="0"/>
        </w:rPr>
      </w:r>
    </w:p>
    <w:p w:rsidR="00000000" w:rsidDel="00000000" w:rsidP="00000000" w:rsidRDefault="00000000" w:rsidRPr="00000000" w14:paraId="000000A2">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11  </w:t>
      </w:r>
      <w:r w:rsidDel="00000000" w:rsidR="00000000" w:rsidRPr="00000000">
        <w:rPr>
          <w:rFonts w:ascii="Calibri" w:cs="Calibri" w:eastAsia="Calibri" w:hAnsi="Calibri"/>
          <w:b w:val="1"/>
          <w:bCs w:val="1"/>
          <w:color w:val="0f2744"/>
          <w:sz w:val="26"/>
          <w:szCs w:val="26"/>
          <w:rtl w:val="0"/>
        </w:rPr>
        <w:t xml:space="preserve">GLOBAL INDEX FUNCTION</w:t>
      </w:r>
      <w:r w:rsidDel="00000000" w:rsidR="00000000" w:rsidRPr="00000000">
        <w:rPr>
          <w:rtl w:val="0"/>
        </w:rPr>
      </w:r>
    </w:p>
    <w:p w:rsidR="00000000" w:rsidDel="00000000" w:rsidP="00000000" w:rsidRDefault="00000000" w:rsidRPr="00000000" w14:paraId="000000A3">
      <w:pPr>
        <w:spacing w:after="120" w:before="0" w:lineRule="auto"/>
        <w:rPr/>
      </w:pPr>
      <w:r w:rsidDel="00000000" w:rsidR="00000000" w:rsidRPr="00000000">
        <w:rPr>
          <w:rtl w:val="0"/>
        </w:rPr>
      </w:r>
    </w:p>
    <w:p w:rsidR="00000000" w:rsidDel="00000000" w:rsidP="00000000" w:rsidRDefault="00000000" w:rsidRPr="00000000" w14:paraId="000000A4">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Beyond the assessment of individual entities, the infrastructure provides the analytical foundation for system-level trust indicators — aggregate measures of the trust dynamics operating across the autonomous digital economy.</w:t>
      </w:r>
      <w:r w:rsidDel="00000000" w:rsidR="00000000" w:rsidRPr="00000000">
        <w:rPr>
          <w:rtl w:val="0"/>
        </w:rPr>
      </w:r>
    </w:p>
    <w:p w:rsidR="00000000" w:rsidDel="00000000" w:rsidP="00000000" w:rsidRDefault="00000000" w:rsidRPr="00000000" w14:paraId="000000A5">
      <w:pPr>
        <w:spacing w:after="120" w:before="0" w:lineRule="auto"/>
        <w:rPr/>
      </w:pPr>
      <w:r w:rsidDel="00000000" w:rsidR="00000000" w:rsidRPr="00000000">
        <w:rPr>
          <w:rtl w:val="0"/>
        </w:rPr>
      </w:r>
    </w:p>
    <w:p w:rsidR="00000000" w:rsidDel="00000000" w:rsidP="00000000" w:rsidRDefault="00000000" w:rsidRPr="00000000" w14:paraId="000000A6">
      <w:pPr>
        <w:spacing w:after="120" w:before="60" w:lineRule="auto"/>
        <w:jc w:val="left"/>
        <w:rPr/>
      </w:pPr>
      <w:r w:rsidDel="00000000" w:rsidR="00000000" w:rsidRPr="00000000">
        <w:rPr>
          <w:rFonts w:ascii="Calibri" w:cs="Calibri" w:eastAsia="Calibri" w:hAnsi="Calibri"/>
          <w:b w:val="0"/>
          <w:bCs w:val="0"/>
          <w:i w:val="0"/>
          <w:iCs w:val="0"/>
          <w:color w:val="0a1628"/>
          <w:sz w:val="22"/>
          <w:szCs w:val="22"/>
          <w:rtl w:val="0"/>
        </w:rPr>
        <w:t xml:space="preserve">Such indicators may serve as: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Market-level benchmarks for investors, insurers, and institutional analysts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Systemic risk signals for regulators and public authorities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Ecosystem health indicators for platform operators and standards bodies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Research instruments for academic and policy institutions</w:t>
      </w:r>
    </w:p>
    <w:p w:rsidR="00000000" w:rsidDel="00000000" w:rsidP="00000000" w:rsidRDefault="00000000" w:rsidRPr="00000000" w14:paraId="000000AB">
      <w:pPr>
        <w:spacing w:after="160" w:before="0" w:lineRule="auto"/>
        <w:rPr/>
      </w:pPr>
      <w:r w:rsidDel="00000000" w:rsidR="00000000" w:rsidRPr="00000000">
        <w:rPr>
          <w:rtl w:val="0"/>
        </w:rPr>
      </w:r>
    </w:p>
    <w:p w:rsidR="00000000" w:rsidDel="00000000" w:rsidP="00000000" w:rsidRDefault="00000000" w:rsidRPr="00000000" w14:paraId="000000AC">
      <w:pPr>
        <w:pBdr>
          <w:left w:color="9a7318" w:space="0" w:sz="18" w:val="single"/>
        </w:pBdr>
        <w:spacing w:after="240" w:before="240" w:lineRule="auto"/>
        <w:ind w:left="560" w:right="280" w:firstLine="0"/>
        <w:rPr/>
      </w:pPr>
      <w:r w:rsidDel="00000000" w:rsidR="00000000" w:rsidRPr="00000000">
        <w:rPr>
          <w:rFonts w:ascii="Calibri" w:cs="Calibri" w:eastAsia="Calibri" w:hAnsi="Calibri"/>
          <w:b w:val="1"/>
          <w:bCs w:val="1"/>
          <w:i w:val="1"/>
          <w:iCs w:val="1"/>
          <w:color w:val="0f2744"/>
          <w:sz w:val="24"/>
          <w:szCs w:val="24"/>
          <w:rtl w:val="0"/>
        </w:rPr>
        <w:t xml:space="preserve">GATI — the Global Agent Trust Index — represents the first publicly observable market-level indicator of trust dynamics in the autonomous agent economy. Trust as an Asset Class.</w:t>
      </w:r>
      <w:r w:rsidDel="00000000" w:rsidR="00000000" w:rsidRPr="00000000">
        <w:rPr>
          <w:rtl w:val="0"/>
        </w:rPr>
      </w:r>
    </w:p>
    <w:p w:rsidR="00000000" w:rsidDel="00000000" w:rsidP="00000000" w:rsidRDefault="00000000" w:rsidRPr="00000000" w14:paraId="000000AD">
      <w:pPr>
        <w:spacing w:after="320" w:before="0" w:lineRule="auto"/>
        <w:rPr/>
      </w:pPr>
      <w:r w:rsidDel="00000000" w:rsidR="00000000" w:rsidRPr="00000000">
        <w:rPr>
          <w:rtl w:val="0"/>
        </w:rPr>
      </w:r>
    </w:p>
    <w:p w:rsidR="00000000" w:rsidDel="00000000" w:rsidP="00000000" w:rsidRDefault="00000000" w:rsidRPr="00000000" w14:paraId="000000AE">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12  </w:t>
      </w:r>
      <w:r w:rsidDel="00000000" w:rsidR="00000000" w:rsidRPr="00000000">
        <w:rPr>
          <w:rFonts w:ascii="Calibri" w:cs="Calibri" w:eastAsia="Calibri" w:hAnsi="Calibri"/>
          <w:b w:val="1"/>
          <w:bCs w:val="1"/>
          <w:color w:val="0f2744"/>
          <w:sz w:val="26"/>
          <w:szCs w:val="26"/>
          <w:rtl w:val="0"/>
        </w:rPr>
        <w:t xml:space="preserve">ECONOMIC ROLE OF TRUST</w:t>
      </w:r>
      <w:r w:rsidDel="00000000" w:rsidR="00000000" w:rsidRPr="00000000">
        <w:rPr>
          <w:rtl w:val="0"/>
        </w:rPr>
      </w:r>
    </w:p>
    <w:p w:rsidR="00000000" w:rsidDel="00000000" w:rsidP="00000000" w:rsidRDefault="00000000" w:rsidRPr="00000000" w14:paraId="000000AF">
      <w:pPr>
        <w:spacing w:after="120" w:before="0" w:lineRule="auto"/>
        <w:rPr/>
      </w:pPr>
      <w:r w:rsidDel="00000000" w:rsidR="00000000" w:rsidRPr="00000000">
        <w:rPr>
          <w:rtl w:val="0"/>
        </w:rPr>
      </w:r>
    </w:p>
    <w:p w:rsidR="00000000" w:rsidDel="00000000" w:rsidP="00000000" w:rsidRDefault="00000000" w:rsidRPr="00000000" w14:paraId="000000B0">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Trust functions as a measurable economic variable. It influences the terms, conditions, and costs of interaction between autonomous systems, and between those systems and their human principals.</w:t>
      </w:r>
      <w:r w:rsidDel="00000000" w:rsidR="00000000" w:rsidRPr="00000000">
        <w:rPr>
          <w:rtl w:val="0"/>
        </w:rPr>
      </w:r>
    </w:p>
    <w:p w:rsidR="00000000" w:rsidDel="00000000" w:rsidP="00000000" w:rsidRDefault="00000000" w:rsidRPr="00000000" w14:paraId="000000B1">
      <w:pPr>
        <w:spacing w:after="120" w:before="0" w:lineRule="auto"/>
        <w:rPr/>
      </w:pPr>
      <w:r w:rsidDel="00000000" w:rsidR="00000000" w:rsidRPr="00000000">
        <w:rPr>
          <w:rtl w:val="0"/>
        </w:rPr>
      </w:r>
    </w:p>
    <w:p w:rsidR="00000000" w:rsidDel="00000000" w:rsidP="00000000" w:rsidRDefault="00000000" w:rsidRPr="00000000" w14:paraId="000000B2">
      <w:pPr>
        <w:spacing w:after="120" w:before="60" w:lineRule="auto"/>
        <w:jc w:val="left"/>
        <w:rPr/>
      </w:pPr>
      <w:r w:rsidDel="00000000" w:rsidR="00000000" w:rsidRPr="00000000">
        <w:rPr>
          <w:rFonts w:ascii="Calibri" w:cs="Calibri" w:eastAsia="Calibri" w:hAnsi="Calibri"/>
          <w:b w:val="0"/>
          <w:bCs w:val="0"/>
          <w:i w:val="0"/>
          <w:iCs w:val="0"/>
          <w:color w:val="0a1628"/>
          <w:sz w:val="22"/>
          <w:szCs w:val="22"/>
          <w:rtl w:val="0"/>
        </w:rPr>
        <w:t xml:space="preserve">A standardized trust signal enables: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differential access to resources and capabilities on the basis of verifiable track record</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risk-adjusted pricing and underwriting for autonomous system operations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reduction in the transaction costs associated with establishing cooperation between unknown parties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formation of new markets in trust-dependent services and financial instruments</w:t>
      </w:r>
    </w:p>
    <w:p w:rsidR="00000000" w:rsidDel="00000000" w:rsidP="00000000" w:rsidRDefault="00000000" w:rsidRPr="00000000" w14:paraId="000000B7">
      <w:pPr>
        <w:spacing w:after="120" w:before="0" w:lineRule="auto"/>
        <w:rPr/>
      </w:pPr>
      <w:r w:rsidDel="00000000" w:rsidR="00000000" w:rsidRPr="00000000">
        <w:rPr>
          <w:rtl w:val="0"/>
        </w:rPr>
      </w:r>
    </w:p>
    <w:p w:rsidR="00000000" w:rsidDel="00000000" w:rsidP="00000000" w:rsidRDefault="00000000" w:rsidRPr="00000000" w14:paraId="000000B8">
      <w:pPr>
        <w:spacing w:after="120" w:before="60" w:lineRule="auto"/>
        <w:jc w:val="both"/>
        <w:rPr/>
      </w:pPr>
      <w:r w:rsidDel="00000000" w:rsidR="00000000" w:rsidRPr="00000000">
        <w:rPr>
          <w:rFonts w:ascii="Calibri" w:cs="Calibri" w:eastAsia="Calibri" w:hAnsi="Calibri"/>
          <w:b w:val="0"/>
          <w:bCs w:val="0"/>
          <w:i w:val="1"/>
          <w:iCs w:val="1"/>
          <w:color w:val="0a1628"/>
          <w:sz w:val="22"/>
          <w:szCs w:val="22"/>
          <w:rtl w:val="0"/>
        </w:rPr>
        <w:t xml:space="preserve">The infrastructure provides the measurement layer necessary to make trust a tradeable and investable signal — establishing the conditions for trust to function as an asset class in the autonomous economy.</w:t>
      </w:r>
      <w:r w:rsidDel="00000000" w:rsidR="00000000" w:rsidRPr="00000000">
        <w:rPr>
          <w:rtl w:val="0"/>
        </w:rPr>
      </w:r>
    </w:p>
    <w:p w:rsidR="00000000" w:rsidDel="00000000" w:rsidP="00000000" w:rsidRDefault="00000000" w:rsidRPr="00000000" w14:paraId="000000B9">
      <w:pPr>
        <w:spacing w:after="320" w:before="0" w:lineRule="auto"/>
        <w:rPr/>
      </w:pPr>
      <w:r w:rsidDel="00000000" w:rsidR="00000000" w:rsidRPr="00000000">
        <w:rPr>
          <w:rtl w:val="0"/>
        </w:rPr>
      </w:r>
    </w:p>
    <w:p w:rsidR="00000000" w:rsidDel="00000000" w:rsidP="00000000" w:rsidRDefault="00000000" w:rsidRPr="00000000" w14:paraId="000000BA">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13  </w:t>
      </w:r>
      <w:r w:rsidDel="00000000" w:rsidR="00000000" w:rsidRPr="00000000">
        <w:rPr>
          <w:rFonts w:ascii="Calibri" w:cs="Calibri" w:eastAsia="Calibri" w:hAnsi="Calibri"/>
          <w:b w:val="1"/>
          <w:bCs w:val="1"/>
          <w:color w:val="0f2744"/>
          <w:sz w:val="26"/>
          <w:szCs w:val="26"/>
          <w:rtl w:val="0"/>
        </w:rPr>
        <w:t xml:space="preserve">INTEROPERABILITY PRINCIPLE</w:t>
      </w:r>
      <w:r w:rsidDel="00000000" w:rsidR="00000000" w:rsidRPr="00000000">
        <w:rPr>
          <w:rtl w:val="0"/>
        </w:rPr>
      </w:r>
    </w:p>
    <w:p w:rsidR="00000000" w:rsidDel="00000000" w:rsidP="00000000" w:rsidRDefault="00000000" w:rsidRPr="00000000" w14:paraId="000000BB">
      <w:pPr>
        <w:spacing w:after="120" w:before="0" w:lineRule="auto"/>
        <w:rPr/>
      </w:pPr>
      <w:r w:rsidDel="00000000" w:rsidR="00000000" w:rsidRPr="00000000">
        <w:rPr>
          <w:rtl w:val="0"/>
        </w:rPr>
      </w:r>
    </w:p>
    <w:p w:rsidR="00000000" w:rsidDel="00000000" w:rsidP="00000000" w:rsidRDefault="00000000" w:rsidRPr="00000000" w14:paraId="000000BC">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is designed for compatibility with the broadest possible range of technological, regulatory, and institutional environments.</w:t>
      </w:r>
      <w:r w:rsidDel="00000000" w:rsidR="00000000" w:rsidRPr="00000000">
        <w:rPr>
          <w:rtl w:val="0"/>
        </w:rPr>
      </w:r>
    </w:p>
    <w:p w:rsidR="00000000" w:rsidDel="00000000" w:rsidP="00000000" w:rsidRDefault="00000000" w:rsidRPr="00000000" w14:paraId="000000BD">
      <w:pPr>
        <w:spacing w:after="120" w:before="0" w:lineRule="auto"/>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Artifact formats and methodology interfaces are designed to align with existing and emerging identification standards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system is compatible with existing security, audit, and compliance frameworks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Regulatory integration is enabled without requiring modification of existing legal structures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Multiple independent implementations of the methodology may coexist and interoperate</w:t>
      </w:r>
    </w:p>
    <w:p w:rsidR="00000000" w:rsidDel="00000000" w:rsidP="00000000" w:rsidRDefault="00000000" w:rsidRPr="00000000" w14:paraId="000000C2">
      <w:pPr>
        <w:spacing w:after="320" w:before="0" w:lineRule="auto"/>
        <w:rPr/>
      </w:pPr>
      <w:r w:rsidDel="00000000" w:rsidR="00000000" w:rsidRPr="00000000">
        <w:rPr>
          <w:rtl w:val="0"/>
        </w:rPr>
      </w:r>
    </w:p>
    <w:p w:rsidR="00000000" w:rsidDel="00000000" w:rsidP="00000000" w:rsidRDefault="00000000" w:rsidRPr="00000000" w14:paraId="000000C3">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14  </w:t>
      </w:r>
      <w:r w:rsidDel="00000000" w:rsidR="00000000" w:rsidRPr="00000000">
        <w:rPr>
          <w:rFonts w:ascii="Calibri" w:cs="Calibri" w:eastAsia="Calibri" w:hAnsi="Calibri"/>
          <w:b w:val="1"/>
          <w:bCs w:val="1"/>
          <w:color w:val="0f2744"/>
          <w:sz w:val="26"/>
          <w:szCs w:val="26"/>
          <w:rtl w:val="0"/>
        </w:rPr>
        <w:t xml:space="preserve">MINIMAL DEPENDENCY PRINCIPLE</w:t>
      </w:r>
      <w:r w:rsidDel="00000000" w:rsidR="00000000" w:rsidRPr="00000000">
        <w:rPr>
          <w:rtl w:val="0"/>
        </w:rPr>
      </w:r>
    </w:p>
    <w:p w:rsidR="00000000" w:rsidDel="00000000" w:rsidP="00000000" w:rsidRDefault="00000000" w:rsidRPr="00000000" w14:paraId="000000C4">
      <w:pPr>
        <w:spacing w:after="120" w:before="0" w:lineRule="auto"/>
        <w:rPr/>
      </w:pPr>
      <w:r w:rsidDel="00000000" w:rsidR="00000000" w:rsidRPr="00000000">
        <w:rPr>
          <w:rtl w:val="0"/>
        </w:rPr>
      </w:r>
    </w:p>
    <w:p w:rsidR="00000000" w:rsidDel="00000000" w:rsidP="00000000" w:rsidRDefault="00000000" w:rsidRPr="00000000" w14:paraId="000000C5">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No participant in the ecosystem should be critically dependent on a single provider of trust measurement infrastructure. The methodology is designed to support a pluralistic, resilient supply of trust intelligence.</w:t>
      </w:r>
      <w:r w:rsidDel="00000000" w:rsidR="00000000" w:rsidRPr="00000000">
        <w:rPr>
          <w:rtl w:val="0"/>
        </w:rPr>
      </w:r>
    </w:p>
    <w:p w:rsidR="00000000" w:rsidDel="00000000" w:rsidP="00000000" w:rsidRDefault="00000000" w:rsidRPr="00000000" w14:paraId="000000C6">
      <w:pPr>
        <w:spacing w:after="120" w:before="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Alternative computation providers may implement the methodology independently</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Independent aggregators may operate within the framework</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Localized implementations may serve jurisdictional or sectoral requirements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Open publication of the index methodology reduces the risk of market concentration</w:t>
      </w:r>
    </w:p>
    <w:p w:rsidR="00000000" w:rsidDel="00000000" w:rsidP="00000000" w:rsidRDefault="00000000" w:rsidRPr="00000000" w14:paraId="000000CB">
      <w:pPr>
        <w:spacing w:after="320" w:before="0" w:lineRule="auto"/>
        <w:rPr/>
      </w:pPr>
      <w:r w:rsidDel="00000000" w:rsidR="00000000" w:rsidRPr="00000000">
        <w:rPr>
          <w:rtl w:val="0"/>
        </w:rPr>
      </w:r>
    </w:p>
    <w:p w:rsidR="00000000" w:rsidDel="00000000" w:rsidP="00000000" w:rsidRDefault="00000000" w:rsidRPr="00000000" w14:paraId="000000CC">
      <w:pPr>
        <w:pBdr>
          <w:bottom w:color="d6dce6" w:space="0" w:sz="6" w:val="single"/>
        </w:pBdr>
        <w:spacing w:after="120" w:before="400" w:lineRule="auto"/>
        <w:rPr>
          <w:b w:val="1"/>
          <w:bCs w:val="1"/>
          <w:color w:val="9a7318"/>
          <w:sz w:val="26"/>
          <w:szCs w:val="26"/>
        </w:rPr>
      </w:pPr>
      <w:r w:rsidDel="00000000" w:rsidR="00000000" w:rsidRPr="00000000">
        <w:rPr>
          <w:rtl w:val="0"/>
        </w:rPr>
      </w:r>
    </w:p>
    <w:p w:rsidR="00000000" w:rsidDel="00000000" w:rsidP="00000000" w:rsidRDefault="00000000" w:rsidRPr="00000000" w14:paraId="000000CD">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15  </w:t>
      </w:r>
      <w:r w:rsidDel="00000000" w:rsidR="00000000" w:rsidRPr="00000000">
        <w:rPr>
          <w:rFonts w:ascii="Calibri" w:cs="Calibri" w:eastAsia="Calibri" w:hAnsi="Calibri"/>
          <w:b w:val="1"/>
          <w:bCs w:val="1"/>
          <w:color w:val="0f2744"/>
          <w:sz w:val="26"/>
          <w:szCs w:val="26"/>
          <w:rtl w:val="0"/>
        </w:rPr>
        <w:t xml:space="preserve">PUBLIC SECTOR INTERACTION</w:t>
      </w:r>
      <w:r w:rsidDel="00000000" w:rsidR="00000000" w:rsidRPr="00000000">
        <w:rPr>
          <w:rtl w:val="0"/>
        </w:rPr>
      </w:r>
    </w:p>
    <w:p w:rsidR="00000000" w:rsidDel="00000000" w:rsidP="00000000" w:rsidRDefault="00000000" w:rsidRPr="00000000" w14:paraId="000000CE">
      <w:pPr>
        <w:spacing w:after="120" w:before="0" w:lineRule="auto"/>
        <w:rPr/>
      </w:pPr>
      <w:r w:rsidDel="00000000" w:rsidR="00000000" w:rsidRPr="00000000">
        <w:rPr>
          <w:rtl w:val="0"/>
        </w:rPr>
      </w:r>
    </w:p>
    <w:p w:rsidR="00000000" w:rsidDel="00000000" w:rsidP="00000000" w:rsidRDefault="00000000" w:rsidRPr="00000000" w14:paraId="000000CF">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is available to governments and international organizations as a source of analytical information relevant to the governance of autonomous systems. It does not, and is not designed to, replace or supplement the exercise of sovereign authority.</w:t>
      </w:r>
      <w:r w:rsidDel="00000000" w:rsidR="00000000" w:rsidRPr="00000000">
        <w:rPr>
          <w:rtl w:val="0"/>
        </w:rPr>
      </w:r>
    </w:p>
    <w:p w:rsidR="00000000" w:rsidDel="00000000" w:rsidP="00000000" w:rsidRDefault="00000000" w:rsidRPr="00000000" w14:paraId="000000D0">
      <w:pPr>
        <w:spacing w:after="120" w:before="0" w:lineRule="auto"/>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Public authorities may use trust indicators to inform risk assessments and policy analysis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The infrastructure supports international cooperation on autonomous system standards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Market monitoring functions may complement regulatory oversight without duplicating it</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Engagement with multilateral standardization bodies is an anticipated pathway for the methodology</w:t>
      </w:r>
    </w:p>
    <w:p w:rsidR="00000000" w:rsidDel="00000000" w:rsidP="00000000" w:rsidRDefault="00000000" w:rsidRPr="00000000" w14:paraId="000000D5">
      <w:pPr>
        <w:spacing w:after="320" w:before="0" w:lineRule="auto"/>
        <w:rPr/>
      </w:pPr>
      <w:r w:rsidDel="00000000" w:rsidR="00000000" w:rsidRPr="00000000">
        <w:rPr>
          <w:rtl w:val="0"/>
        </w:rPr>
      </w:r>
    </w:p>
    <w:p w:rsidR="00000000" w:rsidDel="00000000" w:rsidP="00000000" w:rsidRDefault="00000000" w:rsidRPr="00000000" w14:paraId="000000D6">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16  </w:t>
      </w:r>
      <w:r w:rsidDel="00000000" w:rsidR="00000000" w:rsidRPr="00000000">
        <w:rPr>
          <w:rFonts w:ascii="Calibri" w:cs="Calibri" w:eastAsia="Calibri" w:hAnsi="Calibri"/>
          <w:b w:val="1"/>
          <w:bCs w:val="1"/>
          <w:color w:val="0f2744"/>
          <w:sz w:val="26"/>
          <w:szCs w:val="26"/>
          <w:rtl w:val="0"/>
        </w:rPr>
        <w:t xml:space="preserve">MARKET INTERACTION</w:t>
      </w:r>
      <w:r w:rsidDel="00000000" w:rsidR="00000000" w:rsidRPr="00000000">
        <w:rPr>
          <w:rtl w:val="0"/>
        </w:rPr>
      </w:r>
    </w:p>
    <w:p w:rsidR="00000000" w:rsidDel="00000000" w:rsidP="00000000" w:rsidRDefault="00000000" w:rsidRPr="00000000" w14:paraId="000000D7">
      <w:pPr>
        <w:spacing w:after="120" w:before="0" w:lineRule="auto"/>
        <w:rPr/>
      </w:pPr>
      <w:r w:rsidDel="00000000" w:rsidR="00000000" w:rsidRPr="00000000">
        <w:rPr>
          <w:rtl w:val="0"/>
        </w:rPr>
      </w:r>
    </w:p>
    <w:p w:rsidR="00000000" w:rsidDel="00000000" w:rsidP="00000000" w:rsidRDefault="00000000" w:rsidRPr="00000000" w14:paraId="000000D8">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infrastructure addresses a fundamental market failure in the autonomous economy: the absence of reliable, standardized information about the trustworthiness of digital agents and systems.</w:t>
      </w:r>
      <w:r w:rsidDel="00000000" w:rsidR="00000000" w:rsidRPr="00000000">
        <w:rPr>
          <w:rtl w:val="0"/>
        </w:rPr>
      </w:r>
    </w:p>
    <w:p w:rsidR="00000000" w:rsidDel="00000000" w:rsidP="00000000" w:rsidRDefault="00000000" w:rsidRPr="00000000" w14:paraId="000000D9">
      <w:pPr>
        <w:spacing w:after="120" w:before="0" w:lineRule="auto"/>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Reduction of information asymmetry between principals and autonomous systems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Increased transparency in the delegation of tasks and resources to autonomous agents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Foundation for new service categories built on trust-differentiated access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Enablement of secondary markets for trust-related financial instruments</w:t>
      </w:r>
    </w:p>
    <w:p w:rsidR="00000000" w:rsidDel="00000000" w:rsidP="00000000" w:rsidRDefault="00000000" w:rsidRPr="00000000" w14:paraId="000000DE">
      <w:pPr>
        <w:spacing w:after="320" w:before="0" w:lineRule="auto"/>
        <w:rPr/>
      </w:pPr>
      <w:r w:rsidDel="00000000" w:rsidR="00000000" w:rsidRPr="00000000">
        <w:rPr>
          <w:rtl w:val="0"/>
        </w:rPr>
      </w:r>
    </w:p>
    <w:p w:rsidR="00000000" w:rsidDel="00000000" w:rsidP="00000000" w:rsidRDefault="00000000" w:rsidRPr="00000000" w14:paraId="000000DF">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17  </w:t>
      </w:r>
      <w:r w:rsidDel="00000000" w:rsidR="00000000" w:rsidRPr="00000000">
        <w:rPr>
          <w:rFonts w:ascii="Calibri" w:cs="Calibri" w:eastAsia="Calibri" w:hAnsi="Calibri"/>
          <w:b w:val="1"/>
          <w:bCs w:val="1"/>
          <w:color w:val="0f2744"/>
          <w:sz w:val="26"/>
          <w:szCs w:val="26"/>
          <w:rtl w:val="0"/>
        </w:rPr>
        <w:t xml:space="preserve">APPLICABILITY SCOPE</w:t>
      </w:r>
      <w:r w:rsidDel="00000000" w:rsidR="00000000" w:rsidRPr="00000000">
        <w:rPr>
          <w:rtl w:val="0"/>
        </w:rPr>
      </w:r>
    </w:p>
    <w:p w:rsidR="00000000" w:rsidDel="00000000" w:rsidP="00000000" w:rsidRDefault="00000000" w:rsidRPr="00000000" w14:paraId="000000E0">
      <w:pPr>
        <w:spacing w:after="120" w:before="0" w:lineRule="auto"/>
        <w:rPr/>
      </w:pPr>
      <w:r w:rsidDel="00000000" w:rsidR="00000000" w:rsidRPr="00000000">
        <w:rPr>
          <w:rtl w:val="0"/>
        </w:rPr>
      </w:r>
    </w:p>
    <w:p w:rsidR="00000000" w:rsidDel="00000000" w:rsidP="00000000" w:rsidRDefault="00000000" w:rsidRPr="00000000" w14:paraId="000000E1">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Doctrine and the infrastructure it governs applies to any autonomous or semi-autonomous digital entity capable of independent action within a networked environment. The scope is intentionally broad, reflecting the convergence of AI, automation, and networked computation.</w:t>
      </w:r>
      <w:r w:rsidDel="00000000" w:rsidR="00000000" w:rsidRPr="00000000">
        <w:rPr>
          <w:rtl w:val="0"/>
        </w:rPr>
      </w:r>
    </w:p>
    <w:p w:rsidR="00000000" w:rsidDel="00000000" w:rsidP="00000000" w:rsidRDefault="00000000" w:rsidRPr="00000000" w14:paraId="000000E2">
      <w:pPr>
        <w:spacing w:after="120" w:before="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Autonomous software agents operating across digital platforms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AI-powered services and model deployments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Autonomous and semi-autonomous computational systems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Robotic and cyber-physical systems with networked operation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Distributed protocols and decentralized networks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Internet-of-Things devices and industrial automation systems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Any other digital entity capable of initiating consequential actions</w:t>
      </w:r>
    </w:p>
    <w:p w:rsidR="00000000" w:rsidDel="00000000" w:rsidP="00000000" w:rsidRDefault="00000000" w:rsidRPr="00000000" w14:paraId="000000EA">
      <w:pPr>
        <w:spacing w:after="320" w:before="0" w:lineRule="auto"/>
        <w:rPr/>
      </w:pPr>
      <w:r w:rsidDel="00000000" w:rsidR="00000000" w:rsidRPr="00000000">
        <w:rPr>
          <w:rtl w:val="0"/>
        </w:rPr>
      </w:r>
    </w:p>
    <w:p w:rsidR="00000000" w:rsidDel="00000000" w:rsidP="00000000" w:rsidRDefault="00000000" w:rsidRPr="00000000" w14:paraId="000000EB">
      <w:pPr>
        <w:pBdr>
          <w:bottom w:color="d6dce6" w:space="0" w:sz="6" w:val="single"/>
        </w:pBdr>
        <w:spacing w:after="120" w:before="400" w:lineRule="auto"/>
        <w:rPr>
          <w:b w:val="1"/>
          <w:bCs w:val="1"/>
          <w:color w:val="9a7318"/>
          <w:sz w:val="26"/>
          <w:szCs w:val="26"/>
        </w:rPr>
      </w:pPr>
      <w:r w:rsidDel="00000000" w:rsidR="00000000" w:rsidRPr="00000000">
        <w:rPr>
          <w:rtl w:val="0"/>
        </w:rPr>
      </w:r>
    </w:p>
    <w:p w:rsidR="00000000" w:rsidDel="00000000" w:rsidP="00000000" w:rsidRDefault="00000000" w:rsidRPr="00000000" w14:paraId="000000EC">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18  </w:t>
      </w:r>
      <w:r w:rsidDel="00000000" w:rsidR="00000000" w:rsidRPr="00000000">
        <w:rPr>
          <w:rFonts w:ascii="Calibri" w:cs="Calibri" w:eastAsia="Calibri" w:hAnsi="Calibri"/>
          <w:b w:val="1"/>
          <w:bCs w:val="1"/>
          <w:color w:val="0f2744"/>
          <w:sz w:val="26"/>
          <w:szCs w:val="26"/>
          <w:rtl w:val="0"/>
        </w:rPr>
        <w:t xml:space="preserve">LONG-TERM OBJECTIVE</w:t>
      </w:r>
      <w:r w:rsidDel="00000000" w:rsidR="00000000" w:rsidRPr="00000000">
        <w:rPr>
          <w:rtl w:val="0"/>
        </w:rPr>
      </w:r>
    </w:p>
    <w:p w:rsidR="00000000" w:rsidDel="00000000" w:rsidP="00000000" w:rsidRDefault="00000000" w:rsidRPr="00000000" w14:paraId="000000ED">
      <w:pPr>
        <w:spacing w:after="120" w:before="0" w:lineRule="auto"/>
        <w:rPr/>
      </w:pPr>
      <w:r w:rsidDel="00000000" w:rsidR="00000000" w:rsidRPr="00000000">
        <w:rPr>
          <w:rtl w:val="0"/>
        </w:rPr>
      </w:r>
    </w:p>
    <w:p w:rsidR="00000000" w:rsidDel="00000000" w:rsidP="00000000" w:rsidRDefault="00000000" w:rsidRPr="00000000" w14:paraId="000000EE">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The long-term objective of the EVOLENTITY infrastructure is to establish a universal trust measurement layer that enables autonomous systems to engage in consequential interactions without requiring prior established relationships between parties.</w:t>
      </w:r>
      <w:r w:rsidDel="00000000" w:rsidR="00000000" w:rsidRPr="00000000">
        <w:rPr>
          <w:rtl w:val="0"/>
        </w:rPr>
      </w:r>
    </w:p>
    <w:p w:rsidR="00000000" w:rsidDel="00000000" w:rsidP="00000000" w:rsidRDefault="00000000" w:rsidRPr="00000000" w14:paraId="000000EF">
      <w:pPr>
        <w:spacing w:after="120" w:before="0" w:lineRule="auto"/>
        <w:rPr/>
      </w:pPr>
      <w:r w:rsidDel="00000000" w:rsidR="00000000" w:rsidRPr="00000000">
        <w:rPr>
          <w:rtl w:val="0"/>
        </w:rPr>
      </w:r>
    </w:p>
    <w:p w:rsidR="00000000" w:rsidDel="00000000" w:rsidP="00000000" w:rsidRDefault="00000000" w:rsidRPr="00000000" w14:paraId="000000F0">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objective is analogous to the role played by credit infrastructure in enabling commerce between unknown parties at scale, or by technical standards in enabling interoperability between independently developed systems.</w:t>
      </w:r>
      <w:r w:rsidDel="00000000" w:rsidR="00000000" w:rsidRPr="00000000">
        <w:rPr>
          <w:rtl w:val="0"/>
        </w:rPr>
      </w:r>
    </w:p>
    <w:p w:rsidR="00000000" w:rsidDel="00000000" w:rsidP="00000000" w:rsidRDefault="00000000" w:rsidRPr="00000000" w14:paraId="000000F1">
      <w:pPr>
        <w:spacing w:after="160" w:before="0" w:lineRule="auto"/>
        <w:rPr/>
      </w:pPr>
      <w:r w:rsidDel="00000000" w:rsidR="00000000" w:rsidRPr="00000000">
        <w:rPr>
          <w:rtl w:val="0"/>
        </w:rPr>
      </w:r>
    </w:p>
    <w:p w:rsidR="00000000" w:rsidDel="00000000" w:rsidP="00000000" w:rsidRDefault="00000000" w:rsidRPr="00000000" w14:paraId="000000F2">
      <w:pPr>
        <w:pBdr>
          <w:left w:color="9a7318" w:space="0" w:sz="18" w:val="single"/>
        </w:pBdr>
        <w:spacing w:after="240" w:before="240" w:lineRule="auto"/>
        <w:ind w:left="560" w:right="280" w:firstLine="0"/>
        <w:rPr/>
      </w:pPr>
      <w:r w:rsidDel="00000000" w:rsidR="00000000" w:rsidRPr="00000000">
        <w:rPr>
          <w:rFonts w:ascii="Calibri" w:cs="Calibri" w:eastAsia="Calibri" w:hAnsi="Calibri"/>
          <w:b w:val="1"/>
          <w:bCs w:val="1"/>
          <w:i w:val="1"/>
          <w:iCs w:val="1"/>
          <w:color w:val="0f2744"/>
          <w:sz w:val="24"/>
          <w:szCs w:val="24"/>
          <w:rtl w:val="0"/>
        </w:rPr>
        <w:t xml:space="preserve">The Measurement Layer of the Autonomous Economy — enabling trust without prior relationships, at global scale.</w:t>
      </w:r>
      <w:r w:rsidDel="00000000" w:rsidR="00000000" w:rsidRPr="00000000">
        <w:rPr>
          <w:rtl w:val="0"/>
        </w:rPr>
      </w:r>
    </w:p>
    <w:p w:rsidR="00000000" w:rsidDel="00000000" w:rsidP="00000000" w:rsidRDefault="00000000" w:rsidRPr="00000000" w14:paraId="000000F3">
      <w:pPr>
        <w:pBdr>
          <w:bottom w:color="d6dce6" w:space="0" w:sz="6" w:val="single"/>
        </w:pBdr>
        <w:spacing w:after="120" w:before="400" w:lineRule="auto"/>
        <w:rPr/>
      </w:pPr>
      <w:r w:rsidDel="00000000" w:rsidR="00000000" w:rsidRPr="00000000">
        <w:rPr>
          <w:rFonts w:ascii="Calibri" w:cs="Calibri" w:eastAsia="Calibri" w:hAnsi="Calibri"/>
          <w:b w:val="1"/>
          <w:bCs w:val="1"/>
          <w:color w:val="9a7318"/>
          <w:sz w:val="26"/>
          <w:szCs w:val="26"/>
          <w:rtl w:val="0"/>
        </w:rPr>
        <w:t xml:space="preserve">19  </w:t>
      </w:r>
      <w:r w:rsidDel="00000000" w:rsidR="00000000" w:rsidRPr="00000000">
        <w:rPr>
          <w:rFonts w:ascii="Calibri" w:cs="Calibri" w:eastAsia="Calibri" w:hAnsi="Calibri"/>
          <w:b w:val="1"/>
          <w:bCs w:val="1"/>
          <w:color w:val="0f2744"/>
          <w:sz w:val="26"/>
          <w:szCs w:val="26"/>
          <w:rtl w:val="0"/>
        </w:rPr>
        <w:t xml:space="preserve">NORMATIVE STATUS</w:t>
      </w:r>
      <w:r w:rsidDel="00000000" w:rsidR="00000000" w:rsidRPr="00000000">
        <w:rPr>
          <w:rtl w:val="0"/>
        </w:rPr>
      </w:r>
    </w:p>
    <w:p w:rsidR="00000000" w:rsidDel="00000000" w:rsidP="00000000" w:rsidRDefault="00000000" w:rsidRPr="00000000" w14:paraId="000000F4">
      <w:pPr>
        <w:spacing w:after="120" w:before="0" w:lineRule="auto"/>
        <w:rPr/>
      </w:pPr>
      <w:r w:rsidDel="00000000" w:rsidR="00000000" w:rsidRPr="00000000">
        <w:rPr>
          <w:rtl w:val="0"/>
        </w:rPr>
      </w:r>
    </w:p>
    <w:p w:rsidR="00000000" w:rsidDel="00000000" w:rsidP="00000000" w:rsidRDefault="00000000" w:rsidRPr="00000000" w14:paraId="000000F5">
      <w:pPr>
        <w:spacing w:after="120" w:before="60" w:lineRule="auto"/>
        <w:jc w:val="both"/>
        <w:rPr/>
      </w:pPr>
      <w:r w:rsidDel="00000000" w:rsidR="00000000" w:rsidRPr="00000000">
        <w:rPr>
          <w:rFonts w:ascii="Calibri" w:cs="Calibri" w:eastAsia="Calibri" w:hAnsi="Calibri"/>
          <w:b w:val="0"/>
          <w:bCs w:val="0"/>
          <w:i w:val="0"/>
          <w:iCs w:val="0"/>
          <w:color w:val="0a1628"/>
          <w:sz w:val="22"/>
          <w:szCs w:val="22"/>
          <w:rtl w:val="0"/>
        </w:rPr>
        <w:t xml:space="preserve">This document constitutes the primary normative reference for all EVOLENTITY initiatives, outputs, and derivative documents. All subsequent documents produced under the EVOLENTITY framework must:</w:t>
      </w:r>
      <w:r w:rsidDel="00000000" w:rsidR="00000000" w:rsidRPr="00000000">
        <w:rPr>
          <w:rtl w:val="0"/>
        </w:rPr>
      </w:r>
    </w:p>
    <w:p w:rsidR="00000000" w:rsidDel="00000000" w:rsidP="00000000" w:rsidRDefault="00000000" w:rsidRPr="00000000" w14:paraId="000000F6">
      <w:pPr>
        <w:spacing w:after="80" w:before="0" w:lineRule="auto"/>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conform to the principles established in this Doctrine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not contradict the scope of authority defined in Section 3</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maintain the institutional, technological, and commercial neutrality required by Section 4</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a1628"/>
          <w:sz w:val="22"/>
          <w:szCs w:val="22"/>
          <w:u w:val="none"/>
          <w:shd w:fill="auto" w:val="clear"/>
          <w:vertAlign w:val="baseline"/>
          <w:rtl w:val="0"/>
        </w:rPr>
        <w:t xml:space="preserve">reflect the supra-platform character of the infrastructure throughout</w:t>
      </w:r>
    </w:p>
    <w:p w:rsidR="00000000" w:rsidDel="00000000" w:rsidP="00000000" w:rsidRDefault="00000000" w:rsidRPr="00000000" w14:paraId="000000FB">
      <w:pPr>
        <w:spacing w:after="160" w:before="0" w:lineRule="auto"/>
        <w:rPr/>
      </w:pPr>
      <w:r w:rsidDel="00000000" w:rsidR="00000000" w:rsidRPr="00000000">
        <w:rPr>
          <w:rtl w:val="0"/>
        </w:rPr>
      </w:r>
    </w:p>
    <w:p w:rsidR="00000000" w:rsidDel="00000000" w:rsidP="00000000" w:rsidRDefault="00000000" w:rsidRPr="00000000" w14:paraId="000000FC">
      <w:pPr>
        <w:spacing w:after="120" w:before="60" w:lineRule="auto"/>
        <w:jc w:val="left"/>
        <w:rPr/>
      </w:pPr>
      <w:r w:rsidDel="00000000" w:rsidR="00000000" w:rsidRPr="00000000">
        <w:rPr>
          <w:rFonts w:ascii="Calibri" w:cs="Calibri" w:eastAsia="Calibri" w:hAnsi="Calibri"/>
          <w:b w:val="1"/>
          <w:bCs w:val="1"/>
          <w:i w:val="0"/>
          <w:iCs w:val="0"/>
          <w:color w:val="0a1628"/>
          <w:sz w:val="22"/>
          <w:szCs w:val="22"/>
          <w:rtl w:val="0"/>
        </w:rPr>
        <w:t xml:space="preserve">In the event of inconsistency between this Doctrine and any derivative document, this Doctrine takes precedence. Technology protected by intellectual property rights..</w:t>
      </w:r>
      <w:r w:rsidDel="00000000" w:rsidR="00000000" w:rsidRPr="00000000">
        <w:rPr>
          <w:rtl w:val="0"/>
        </w:rPr>
      </w:r>
    </w:p>
    <w:p w:rsidR="00000000" w:rsidDel="00000000" w:rsidP="00000000" w:rsidRDefault="00000000" w:rsidRPr="00000000" w14:paraId="000000FD">
      <w:pPr>
        <w:spacing w:after="400" w:before="0" w:lineRule="auto"/>
        <w:rPr/>
      </w:pPr>
      <w:r w:rsidDel="00000000" w:rsidR="00000000" w:rsidRPr="00000000">
        <w:rPr>
          <w:rtl w:val="0"/>
        </w:rPr>
      </w:r>
    </w:p>
    <w:p w:rsidR="00000000" w:rsidDel="00000000" w:rsidP="00000000" w:rsidRDefault="00000000" w:rsidRPr="00000000" w14:paraId="000000FE">
      <w:pPr>
        <w:pBdr>
          <w:bottom w:color="9a7318" w:space="0" w:sz="12" w:val="single"/>
        </w:pBdr>
        <w:spacing w:after="200" w:before="0" w:lineRule="auto"/>
        <w:rPr/>
      </w:pPr>
      <w:r w:rsidDel="00000000" w:rsidR="00000000" w:rsidRPr="00000000">
        <w:rPr>
          <w:rtl w:val="0"/>
        </w:rPr>
      </w:r>
    </w:p>
    <w:p w:rsidR="00000000" w:rsidDel="00000000" w:rsidP="00000000" w:rsidRDefault="00000000" w:rsidRPr="00000000" w14:paraId="000000FF">
      <w:pPr>
        <w:spacing w:after="240" w:before="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744" w:val="clear"/>
            <w:tcMar>
              <w:top w:w="480.0" w:type="dxa"/>
              <w:left w:w="560.0" w:type="dxa"/>
              <w:bottom w:w="480.0" w:type="dxa"/>
              <w:right w:w="560.0" w:type="dxa"/>
            </w:tcMar>
          </w:tcPr>
          <w:p w:rsidR="00000000" w:rsidDel="00000000" w:rsidP="00000000" w:rsidRDefault="00000000" w:rsidRPr="00000000" w14:paraId="00000100">
            <w:pPr>
              <w:spacing w:after="200" w:lineRule="auto"/>
              <w:jc w:val="center"/>
              <w:rPr/>
            </w:pPr>
            <w:r w:rsidDel="00000000" w:rsidR="00000000" w:rsidRPr="00000000">
              <w:rPr>
                <w:rFonts w:ascii="Calibri" w:cs="Calibri" w:eastAsia="Calibri" w:hAnsi="Calibri"/>
                <w:b w:val="1"/>
                <w:bCs w:val="1"/>
                <w:color w:val="9a7318"/>
                <w:sz w:val="24"/>
                <w:szCs w:val="24"/>
                <w:rtl w:val="0"/>
              </w:rPr>
              <w:t xml:space="preserve">EVOLENTITY Foundation Stack</w:t>
            </w:r>
            <w:r w:rsidDel="00000000" w:rsidR="00000000" w:rsidRPr="00000000">
              <w:rPr>
                <w:rtl w:val="0"/>
              </w:rPr>
            </w:r>
          </w:p>
          <w:p w:rsidR="00000000" w:rsidDel="00000000" w:rsidP="00000000" w:rsidRDefault="00000000" w:rsidRPr="00000000" w14:paraId="00000101">
            <w:pPr>
              <w:spacing w:after="280" w:lineRule="auto"/>
              <w:jc w:val="center"/>
              <w:rPr/>
            </w:pPr>
            <w:r w:rsidDel="00000000" w:rsidR="00000000" w:rsidRPr="00000000">
              <w:rPr>
                <w:rFonts w:ascii="Calibri" w:cs="Calibri" w:eastAsia="Calibri" w:hAnsi="Calibri"/>
                <w:i w:val="1"/>
                <w:iCs w:val="1"/>
                <w:color w:val="e8eff7"/>
                <w:sz w:val="19"/>
                <w:szCs w:val="19"/>
                <w:rtl w:val="0"/>
              </w:rPr>
              <w:t xml:space="preserve">Normative Hierarchy of Governing Documents</w:t>
            </w:r>
            <w:r w:rsidDel="00000000" w:rsidR="00000000" w:rsidRPr="00000000">
              <w:rPr>
                <w:rtl w:val="0"/>
              </w:rPr>
            </w:r>
          </w:p>
          <w:p w:rsidR="00000000" w:rsidDel="00000000" w:rsidP="00000000" w:rsidRDefault="00000000" w:rsidRPr="00000000" w14:paraId="00000102">
            <w:pPr>
              <w:spacing w:after="80" w:lineRule="auto"/>
              <w:jc w:val="center"/>
              <w:rPr/>
            </w:pPr>
            <w:r w:rsidDel="00000000" w:rsidR="00000000" w:rsidRPr="00000000">
              <w:rPr>
                <w:rFonts w:ascii="Calibri" w:cs="Calibri" w:eastAsia="Calibri" w:hAnsi="Calibri"/>
                <w:b w:val="1"/>
                <w:bCs w:val="1"/>
                <w:color w:val="9a7318"/>
                <w:sz w:val="20"/>
                <w:szCs w:val="20"/>
                <w:rtl w:val="0"/>
              </w:rPr>
              <w:t xml:space="preserve">L0 — ABSOLUTE SOURCE   </w:t>
            </w:r>
            <w:r w:rsidDel="00000000" w:rsidR="00000000" w:rsidRPr="00000000">
              <w:rPr>
                <w:rFonts w:ascii="Calibri" w:cs="Calibri" w:eastAsia="Calibri" w:hAnsi="Calibri"/>
                <w:b w:val="1"/>
                <w:bCs w:val="1"/>
                <w:color w:val="ffffff"/>
                <w:sz w:val="20"/>
                <w:szCs w:val="20"/>
                <w:rtl w:val="0"/>
              </w:rPr>
              <w:t xml:space="preserve">Trust Measurement Doctrine v1.0</w:t>
            </w:r>
            <w:r w:rsidDel="00000000" w:rsidR="00000000" w:rsidRPr="00000000">
              <w:rPr>
                <w:rtl w:val="0"/>
              </w:rPr>
            </w:r>
          </w:p>
          <w:p w:rsidR="00000000" w:rsidDel="00000000" w:rsidP="00000000" w:rsidRDefault="00000000" w:rsidRPr="00000000" w14:paraId="00000103">
            <w:pPr>
              <w:spacing w:after="60" w:lineRule="auto"/>
              <w:jc w:val="center"/>
              <w:rPr/>
            </w:pPr>
            <w:r w:rsidDel="00000000" w:rsidR="00000000" w:rsidRPr="00000000">
              <w:rPr>
                <w:rFonts w:ascii="Calibri" w:cs="Calibri" w:eastAsia="Calibri" w:hAnsi="Calibri"/>
                <w:b w:val="0"/>
                <w:bCs w:val="0"/>
                <w:color w:val="8a9bb0"/>
                <w:sz w:val="18"/>
                <w:szCs w:val="18"/>
                <w:rtl w:val="0"/>
              </w:rPr>
              <w:t xml:space="preserve">L1 — GRAND VISION   </w:t>
            </w:r>
            <w:r w:rsidDel="00000000" w:rsidR="00000000" w:rsidRPr="00000000">
              <w:rPr>
                <w:rFonts w:ascii="Calibri" w:cs="Calibri" w:eastAsia="Calibri" w:hAnsi="Calibri"/>
                <w:b w:val="0"/>
                <w:bCs w:val="0"/>
                <w:color w:val="e8eff7"/>
                <w:sz w:val="18"/>
                <w:szCs w:val="18"/>
                <w:rtl w:val="0"/>
              </w:rPr>
              <w:t xml:space="preserve">Global Trust Observatory  |  Manifest v</w:t>
            </w:r>
            <w:r w:rsidDel="00000000" w:rsidR="00000000" w:rsidRPr="00000000">
              <w:rPr>
                <w:color w:val="e8eff7"/>
                <w:sz w:val="18"/>
                <w:szCs w:val="18"/>
                <w:rtl w:val="0"/>
              </w:rPr>
              <w:t xml:space="preserve">5</w:t>
            </w:r>
            <w:r w:rsidDel="00000000" w:rsidR="00000000" w:rsidRPr="00000000">
              <w:rPr>
                <w:rFonts w:ascii="Calibri" w:cs="Calibri" w:eastAsia="Calibri" w:hAnsi="Calibri"/>
                <w:b w:val="0"/>
                <w:bCs w:val="0"/>
                <w:color w:val="e8eff7"/>
                <w:sz w:val="18"/>
                <w:szCs w:val="18"/>
                <w:rtl w:val="0"/>
              </w:rPr>
              <w:t xml:space="preserve">.0</w:t>
            </w:r>
            <w:r w:rsidDel="00000000" w:rsidR="00000000" w:rsidRPr="00000000">
              <w:rPr>
                <w:rtl w:val="0"/>
              </w:rPr>
            </w:r>
          </w:p>
          <w:p w:rsidR="00000000" w:rsidDel="00000000" w:rsidP="00000000" w:rsidRDefault="00000000" w:rsidRPr="00000000" w14:paraId="00000104">
            <w:pPr>
              <w:spacing w:after="60" w:lineRule="auto"/>
              <w:jc w:val="center"/>
              <w:rPr/>
            </w:pPr>
            <w:r w:rsidDel="00000000" w:rsidR="00000000" w:rsidRPr="00000000">
              <w:rPr>
                <w:rFonts w:ascii="Calibri" w:cs="Calibri" w:eastAsia="Calibri" w:hAnsi="Calibri"/>
                <w:b w:val="0"/>
                <w:bCs w:val="0"/>
                <w:color w:val="8a9bb0"/>
                <w:sz w:val="18"/>
                <w:szCs w:val="18"/>
                <w:rtl w:val="0"/>
              </w:rPr>
              <w:t xml:space="preserve">L2 — SYSTEM DEFINITION   </w:t>
            </w:r>
            <w:r w:rsidDel="00000000" w:rsidR="00000000" w:rsidRPr="00000000">
              <w:rPr>
                <w:rFonts w:ascii="Calibri" w:cs="Calibri" w:eastAsia="Calibri" w:hAnsi="Calibri"/>
                <w:b w:val="0"/>
                <w:bCs w:val="0"/>
                <w:color w:val="e8eff7"/>
                <w:sz w:val="18"/>
                <w:szCs w:val="18"/>
                <w:rtl w:val="0"/>
              </w:rPr>
              <w:t xml:space="preserve">Reference Architecture  |  Global Trust Index Methodology</w:t>
            </w:r>
            <w:r w:rsidDel="00000000" w:rsidR="00000000" w:rsidRPr="00000000">
              <w:rPr>
                <w:rtl w:val="0"/>
              </w:rPr>
            </w:r>
          </w:p>
          <w:p w:rsidR="00000000" w:rsidDel="00000000" w:rsidP="00000000" w:rsidRDefault="00000000" w:rsidRPr="00000000" w14:paraId="00000105">
            <w:pPr>
              <w:spacing w:after="60" w:lineRule="auto"/>
              <w:jc w:val="center"/>
              <w:rPr/>
            </w:pPr>
            <w:r w:rsidDel="00000000" w:rsidR="00000000" w:rsidRPr="00000000">
              <w:rPr>
                <w:rFonts w:ascii="Calibri" w:cs="Calibri" w:eastAsia="Calibri" w:hAnsi="Calibri"/>
                <w:b w:val="0"/>
                <w:bCs w:val="0"/>
                <w:color w:val="8a9bb0"/>
                <w:sz w:val="18"/>
                <w:szCs w:val="18"/>
                <w:rtl w:val="0"/>
              </w:rPr>
              <w:t xml:space="preserve">L3 — SPECIFICATIONS   </w:t>
            </w:r>
            <w:r w:rsidDel="00000000" w:rsidR="00000000" w:rsidRPr="00000000">
              <w:rPr>
                <w:rFonts w:ascii="Calibri" w:cs="Calibri" w:eastAsia="Calibri" w:hAnsi="Calibri"/>
                <w:b w:val="0"/>
                <w:bCs w:val="0"/>
                <w:color w:val="e8eff7"/>
                <w:sz w:val="18"/>
                <w:szCs w:val="18"/>
                <w:rtl w:val="0"/>
              </w:rPr>
              <w:t xml:space="preserve">Agent Passport Spec  |  Portable Reputation Container Spec</w:t>
            </w:r>
            <w:r w:rsidDel="00000000" w:rsidR="00000000" w:rsidRPr="00000000">
              <w:rPr>
                <w:rtl w:val="0"/>
              </w:rPr>
            </w:r>
          </w:p>
          <w:p w:rsidR="00000000" w:rsidDel="00000000" w:rsidP="00000000" w:rsidRDefault="00000000" w:rsidRPr="00000000" w14:paraId="00000106">
            <w:pPr>
              <w:spacing w:after="60" w:lineRule="auto"/>
              <w:jc w:val="center"/>
              <w:rPr/>
            </w:pPr>
            <w:r w:rsidDel="00000000" w:rsidR="00000000" w:rsidRPr="00000000">
              <w:rPr>
                <w:rFonts w:ascii="Calibri" w:cs="Calibri" w:eastAsia="Calibri" w:hAnsi="Calibri"/>
                <w:b w:val="0"/>
                <w:bCs w:val="0"/>
                <w:color w:val="8a9bb0"/>
                <w:sz w:val="18"/>
                <w:szCs w:val="18"/>
                <w:rtl w:val="0"/>
              </w:rPr>
              <w:t xml:space="preserve">L4 — OPERATIONS   </w:t>
            </w:r>
            <w:r w:rsidDel="00000000" w:rsidR="00000000" w:rsidRPr="00000000">
              <w:rPr>
                <w:rFonts w:ascii="Calibri" w:cs="Calibri" w:eastAsia="Calibri" w:hAnsi="Calibri"/>
                <w:b w:val="0"/>
                <w:bCs w:val="0"/>
                <w:color w:val="e8eff7"/>
                <w:sz w:val="18"/>
                <w:szCs w:val="18"/>
                <w:rtl w:val="0"/>
              </w:rPr>
              <w:t xml:space="preserve">Governance Model  |  Economic Model  |  SDK  |  PitchDecks</w:t>
            </w:r>
            <w:r w:rsidDel="00000000" w:rsidR="00000000" w:rsidRPr="00000000">
              <w:rPr>
                <w:rtl w:val="0"/>
              </w:rPr>
            </w:r>
          </w:p>
        </w:tc>
      </w:tr>
    </w:tbl>
    <w:p w:rsidR="00000000" w:rsidDel="00000000" w:rsidP="00000000" w:rsidRDefault="00000000" w:rsidRPr="00000000" w14:paraId="00000107">
      <w:pPr>
        <w:spacing w:after="320" w:before="0" w:lineRule="auto"/>
        <w:rPr/>
      </w:pPr>
      <w:r w:rsidDel="00000000" w:rsidR="00000000" w:rsidRPr="00000000">
        <w:rPr>
          <w:rtl w:val="0"/>
        </w:rPr>
      </w:r>
    </w:p>
    <w:p w:rsidR="00000000" w:rsidDel="00000000" w:rsidP="00000000" w:rsidRDefault="00000000" w:rsidRPr="00000000" w14:paraId="00000108">
      <w:pPr>
        <w:spacing w:before="60" w:lineRule="auto"/>
        <w:jc w:val="center"/>
        <w:rPr/>
      </w:pPr>
      <w:r w:rsidDel="00000000" w:rsidR="00000000" w:rsidRPr="00000000">
        <w:rPr>
          <w:rtl w:val="0"/>
        </w:rPr>
      </w:r>
    </w:p>
    <w:sectPr>
      <w:headerReference r:id="rId7" w:type="default"/>
      <w:footerReference r:id="rId8" w:type="default"/>
      <w:pgSz w:h="16838" w:w="11906" w:orient="portrait"/>
      <w:pgMar w:bottom="1020" w:top="1020" w:left="1020" w:right="10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color="d6dce6" w:space="0" w:sz="4" w:val="single"/>
      </w:pBdr>
      <w:tabs>
        <w:tab w:val="right" w:leader="none" w:pos="8866"/>
      </w:tabs>
      <w:spacing w:before="100" w:lineRule="auto"/>
      <w:rPr/>
    </w:pPr>
    <w:r w:rsidDel="00000000" w:rsidR="00000000" w:rsidRPr="00000000">
      <w:rPr>
        <w:rFonts w:ascii="Calibri" w:cs="Calibri" w:eastAsia="Calibri" w:hAnsi="Calibri"/>
        <w:color w:val="8a9bb0"/>
        <w:sz w:val="15"/>
        <w:szCs w:val="15"/>
        <w:rtl w:val="0"/>
      </w:rPr>
      <w:t xml:space="preserve">© 2026 InterAlliance OÜ  •  Tallinn, Estonia  •  </w:t>
    </w:r>
    <w:hyperlink r:id="rId1">
      <w:r w:rsidDel="00000000" w:rsidR="00000000" w:rsidRPr="00000000">
        <w:rPr>
          <w:rFonts w:ascii="Calibri" w:cs="Calibri" w:eastAsia="Calibri" w:hAnsi="Calibri"/>
          <w:color w:val="1155cc"/>
          <w:sz w:val="15"/>
          <w:szCs w:val="15"/>
          <w:u w:val="single"/>
          <w:rtl w:val="0"/>
        </w:rPr>
        <w:t xml:space="preserve">evolentity.io</w:t>
      </w:r>
    </w:hyperlink>
    <w:r w:rsidDel="00000000" w:rsidR="00000000" w:rsidRPr="00000000">
      <w:rPr>
        <w:rFonts w:ascii="Calibri" w:cs="Calibri" w:eastAsia="Calibri" w:hAnsi="Calibri"/>
        <w:color w:val="8a9bb0"/>
        <w:sz w:val="15"/>
        <w:szCs w:val="15"/>
        <w:rtl w:val="0"/>
      </w:rPr>
      <w:t xml:space="preserve"> </w:t>
    </w:r>
    <w:r w:rsidDel="00000000" w:rsidR="00000000" w:rsidRPr="00000000">
      <w:rPr>
        <w:rFonts w:ascii="Calibri" w:cs="Calibri" w:eastAsia="Calibri" w:hAnsi="Calibri"/>
        <w:i w:val="1"/>
        <w:iCs w:val="1"/>
        <w:color w:val="8a9bb0"/>
        <w:sz w:val="15"/>
        <w:szCs w:val="15"/>
        <w:rtl w:val="0"/>
      </w:rPr>
      <w:t xml:space="preserve">All rights reserved. Technology subject to intellectual property protection.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0f2744" w:space="0" w:sz="6" w:val="single"/>
      </w:pBdr>
      <w:tabs>
        <w:tab w:val="right" w:leader="none" w:pos="8866"/>
      </w:tabs>
      <w:spacing w:after="0" w:lineRule="auto"/>
      <w:rPr/>
    </w:pPr>
    <w:r w:rsidDel="00000000" w:rsidR="00000000" w:rsidRPr="00000000">
      <w:rPr>
        <w:rFonts w:ascii="Calibri" w:cs="Calibri" w:eastAsia="Calibri" w:hAnsi="Calibri"/>
        <w:b w:val="1"/>
        <w:bCs w:val="1"/>
        <w:color w:val="0f2744"/>
        <w:sz w:val="17"/>
        <w:szCs w:val="17"/>
        <w:rtl w:val="0"/>
      </w:rPr>
      <w:t xml:space="preserve">EVOLENTITY</w:t>
    </w:r>
    <w:r w:rsidDel="00000000" w:rsidR="00000000" w:rsidRPr="00000000">
      <w:rPr>
        <w:rFonts w:ascii="Calibri" w:cs="Calibri" w:eastAsia="Calibri" w:hAnsi="Calibri"/>
        <w:color w:val="8a9bb0"/>
        <w:sz w:val="17"/>
        <w:szCs w:val="17"/>
        <w:rtl w:val="0"/>
      </w:rPr>
      <w:t xml:space="preserve">   —   Trust Measurement Doctrine  |  Version 1.0  |  Foundational Canon </w:t>
    </w:r>
    <w:r w:rsidDel="00000000" w:rsidR="00000000" w:rsidRPr="00000000">
      <w:rPr>
        <w:rFonts w:ascii="Calibri" w:cs="Calibri" w:eastAsia="Calibri" w:hAnsi="Calibri"/>
        <w:b w:val="1"/>
        <w:bCs w:val="1"/>
        <w:color w:val="9a7318"/>
        <w:sz w:val="15"/>
        <w:szCs w:val="15"/>
        <w:rtl w:val="0"/>
      </w:rPr>
      <w:t xml:space="preserve">INFORMATIONAL  •  NOT FOR REDISTRIBUTION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162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a1628"/>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evolentit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l2+AV5Rn0/oxM7jGAIejsDcgw==">CgMxLjA4AHIhMUVmVTFxRVFKZ1UtejNrbnhKTDBXUTR0Mk4taVd3SW9R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2026-03-12T15:44:24.945Z</dcterms:created>
  <dc:creator>Un-named</dc:creator>
</cp:coreProperties>
</file>

<file path=docProps/custom.xml><?xml version="1.0" encoding="utf-8"?>
<Properties xmlns="http://schemas.openxmlformats.org/officeDocument/2006/custom-properties" xmlns:vt="http://schemas.openxmlformats.org/officeDocument/2006/docPropsVTypes"/>
</file>