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7DD5BB"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1️</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What Entropy Would Measure Here</w:t>
      </w:r>
    </w:p>
    <w:p w14:paraId="497D59CD"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In this context, entropy measures the </w:t>
      </w:r>
      <w:r w:rsidRPr="00464C5D">
        <w:rPr>
          <w:rFonts w:ascii="Times New Roman" w:eastAsia="Times New Roman" w:hAnsi="Times New Roman" w:cs="Times New Roman"/>
          <w:b/>
          <w:bCs/>
          <w:sz w:val="24"/>
          <w:szCs w:val="24"/>
        </w:rPr>
        <w:t>uncertainty (disorder) in the distribution of reflectance values</w:t>
      </w:r>
      <w:r w:rsidRPr="00464C5D">
        <w:rPr>
          <w:rFonts w:ascii="Times New Roman" w:eastAsia="Times New Roman" w:hAnsi="Times New Roman" w:cs="Times New Roman"/>
          <w:sz w:val="24"/>
          <w:szCs w:val="24"/>
        </w:rPr>
        <w:t>.</w:t>
      </w:r>
    </w:p>
    <w:p w14:paraId="68EAE968"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If you take a spatial window (e.g., 5×5 or 10×10 pixels):</w:t>
      </w:r>
    </w:p>
    <w:p w14:paraId="1709361E" w14:textId="77777777" w:rsidR="00464C5D" w:rsidRPr="00464C5D" w:rsidRDefault="00464C5D" w:rsidP="0046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If all pixels have very similar spectra → </w:t>
      </w:r>
      <w:r w:rsidRPr="00464C5D">
        <w:rPr>
          <w:rFonts w:ascii="Times New Roman" w:eastAsia="Times New Roman" w:hAnsi="Times New Roman" w:cs="Times New Roman"/>
          <w:b/>
          <w:bCs/>
          <w:sz w:val="24"/>
          <w:szCs w:val="24"/>
        </w:rPr>
        <w:t>low entropy</w:t>
      </w:r>
    </w:p>
    <w:p w14:paraId="576DCFA0" w14:textId="77777777" w:rsidR="00464C5D" w:rsidRPr="00464C5D" w:rsidRDefault="00464C5D" w:rsidP="0046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If spectra vary widely and unpredictably → </w:t>
      </w:r>
      <w:r w:rsidRPr="00464C5D">
        <w:rPr>
          <w:rFonts w:ascii="Times New Roman" w:eastAsia="Times New Roman" w:hAnsi="Times New Roman" w:cs="Times New Roman"/>
          <w:b/>
          <w:bCs/>
          <w:sz w:val="24"/>
          <w:szCs w:val="24"/>
        </w:rPr>
        <w:t>high entropy</w:t>
      </w:r>
    </w:p>
    <w:p w14:paraId="2AC305D7"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Using Shannon entropy:</w:t>
      </w:r>
    </w:p>
    <w:p w14:paraId="16C3E558"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H=−∑p(x)</w:t>
      </w:r>
      <w:proofErr w:type="spellStart"/>
      <w:r w:rsidRPr="00464C5D">
        <w:rPr>
          <w:rFonts w:ascii="Times New Roman" w:eastAsia="Times New Roman" w:hAnsi="Times New Roman" w:cs="Times New Roman"/>
          <w:sz w:val="24"/>
          <w:szCs w:val="24"/>
        </w:rPr>
        <w:t>log⁡p</w:t>
      </w:r>
      <w:proofErr w:type="spellEnd"/>
      <w:r w:rsidRPr="00464C5D">
        <w:rPr>
          <w:rFonts w:ascii="Times New Roman" w:eastAsia="Times New Roman" w:hAnsi="Times New Roman" w:cs="Times New Roman"/>
          <w:sz w:val="24"/>
          <w:szCs w:val="24"/>
        </w:rPr>
        <w:t>(x)H = -\sum p(x)\log p(x)H=−∑p(x)</w:t>
      </w:r>
      <w:proofErr w:type="spellStart"/>
      <w:r w:rsidRPr="00464C5D">
        <w:rPr>
          <w:rFonts w:ascii="Times New Roman" w:eastAsia="Times New Roman" w:hAnsi="Times New Roman" w:cs="Times New Roman"/>
          <w:sz w:val="24"/>
          <w:szCs w:val="24"/>
        </w:rPr>
        <w:t>logp</w:t>
      </w:r>
      <w:proofErr w:type="spellEnd"/>
      <w:r w:rsidRPr="00464C5D">
        <w:rPr>
          <w:rFonts w:ascii="Times New Roman" w:eastAsia="Times New Roman" w:hAnsi="Times New Roman" w:cs="Times New Roman"/>
          <w:sz w:val="24"/>
          <w:szCs w:val="24"/>
        </w:rPr>
        <w:t xml:space="preserve">(x) </w:t>
      </w:r>
    </w:p>
    <w:p w14:paraId="74422B72"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Where:</w:t>
      </w:r>
    </w:p>
    <w:p w14:paraId="2989A362" w14:textId="77777777" w:rsidR="00464C5D" w:rsidRPr="00464C5D" w:rsidRDefault="00464C5D" w:rsidP="0046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p(x)p(x)p(x) = probability distribution of reflectance values (or spectral classes)</w:t>
      </w:r>
    </w:p>
    <w:p w14:paraId="204DC0E4"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So yes — entropy measures </w:t>
      </w:r>
      <w:r w:rsidRPr="00464C5D">
        <w:rPr>
          <w:rFonts w:ascii="Times New Roman" w:eastAsia="Times New Roman" w:hAnsi="Times New Roman" w:cs="Times New Roman"/>
          <w:b/>
          <w:bCs/>
          <w:sz w:val="24"/>
          <w:szCs w:val="24"/>
        </w:rPr>
        <w:t>spectral diversity / unpredictability</w:t>
      </w:r>
      <w:r w:rsidRPr="00464C5D">
        <w:rPr>
          <w:rFonts w:ascii="Times New Roman" w:eastAsia="Times New Roman" w:hAnsi="Times New Roman" w:cs="Times New Roman"/>
          <w:sz w:val="24"/>
          <w:szCs w:val="24"/>
        </w:rPr>
        <w:t>, which aligns conceptually with heterogeneity.</w:t>
      </w:r>
    </w:p>
    <w:p w14:paraId="61EDBFF2"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722A8000">
          <v:rect id="_x0000_i1056" style="width:0;height:1.5pt" o:hralign="center" o:hrstd="t" o:hr="t" fillcolor="#a0a0a0" stroked="f"/>
        </w:pict>
      </w:r>
    </w:p>
    <w:p w14:paraId="78E98DF0"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2️</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The Key Question: Entropy of </w:t>
      </w:r>
      <w:r w:rsidRPr="00464C5D">
        <w:rPr>
          <w:rFonts w:ascii="Times New Roman" w:eastAsia="Times New Roman" w:hAnsi="Times New Roman" w:cs="Times New Roman"/>
          <w:b/>
          <w:bCs/>
          <w:i/>
          <w:iCs/>
          <w:kern w:val="36"/>
          <w:sz w:val="48"/>
          <w:szCs w:val="48"/>
        </w:rPr>
        <w:t>What</w:t>
      </w:r>
      <w:r w:rsidRPr="00464C5D">
        <w:rPr>
          <w:rFonts w:ascii="Times New Roman" w:eastAsia="Times New Roman" w:hAnsi="Times New Roman" w:cs="Times New Roman"/>
          <w:b/>
          <w:bCs/>
          <w:kern w:val="36"/>
          <w:sz w:val="48"/>
          <w:szCs w:val="48"/>
        </w:rPr>
        <w:t>?</w:t>
      </w:r>
    </w:p>
    <w:p w14:paraId="32F72706"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This is the critical design decision.</w:t>
      </w:r>
    </w:p>
    <w:p w14:paraId="4EA0EE51"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have several options:</w:t>
      </w:r>
    </w:p>
    <w:p w14:paraId="0EE36ACD"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637D7D5A">
          <v:rect id="_x0000_i1057" style="width:0;height:1.5pt" o:hralign="center" o:hrstd="t" o:hr="t" fillcolor="#a0a0a0" stroked="f"/>
        </w:pict>
      </w:r>
    </w:p>
    <w:p w14:paraId="4584F7FD"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Option A: Per-band entropy (simplest)</w:t>
      </w:r>
    </w:p>
    <w:p w14:paraId="192A839F"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Compute entropy for each wavelength band across pixels in the window.</w:t>
      </w:r>
    </w:p>
    <w:p w14:paraId="0F083505"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Pros:</w:t>
      </w:r>
    </w:p>
    <w:p w14:paraId="48E6B484" w14:textId="77777777" w:rsidR="00464C5D" w:rsidRPr="00464C5D" w:rsidRDefault="00464C5D" w:rsidP="0046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Easy</w:t>
      </w:r>
    </w:p>
    <w:p w14:paraId="55A81287" w14:textId="77777777" w:rsidR="00464C5D" w:rsidRPr="00464C5D" w:rsidRDefault="00464C5D" w:rsidP="0046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Interpretable</w:t>
      </w:r>
    </w:p>
    <w:p w14:paraId="2BDBB86F" w14:textId="77777777" w:rsidR="00464C5D" w:rsidRPr="00464C5D" w:rsidRDefault="00464C5D" w:rsidP="0046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Computationally cheap</w:t>
      </w:r>
    </w:p>
    <w:p w14:paraId="273F49AD"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Cons:</w:t>
      </w:r>
    </w:p>
    <w:p w14:paraId="41FA3309" w14:textId="77777777" w:rsidR="00464C5D" w:rsidRPr="00464C5D" w:rsidRDefault="00464C5D" w:rsidP="00464C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Ignores inter-band relationships</w:t>
      </w:r>
    </w:p>
    <w:p w14:paraId="3684BB29" w14:textId="77777777" w:rsidR="00464C5D" w:rsidRPr="00464C5D" w:rsidRDefault="00464C5D" w:rsidP="00464C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lastRenderedPageBreak/>
        <w:t>Misses spectral shape variability</w:t>
      </w:r>
    </w:p>
    <w:p w14:paraId="1D0CD409"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603EE18D">
          <v:rect id="_x0000_i1058" style="width:0;height:1.5pt" o:hralign="center" o:hrstd="t" o:hr="t" fillcolor="#a0a0a0" stroked="f"/>
        </w:pict>
      </w:r>
    </w:p>
    <w:p w14:paraId="102F2355"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Option B: Spectral vector entropy (better)</w:t>
      </w:r>
    </w:p>
    <w:p w14:paraId="7B6B20FC"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Treat each pixel’s full spectral signature as a vector.</w:t>
      </w:r>
    </w:p>
    <w:p w14:paraId="57DD4AB9"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Steps:</w:t>
      </w:r>
    </w:p>
    <w:p w14:paraId="5F8879B1" w14:textId="77777777" w:rsidR="00464C5D" w:rsidRPr="00464C5D" w:rsidRDefault="00464C5D" w:rsidP="0046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Reduce dimensionality (PCA recommended)</w:t>
      </w:r>
    </w:p>
    <w:p w14:paraId="11B15704" w14:textId="77777777" w:rsidR="00464C5D" w:rsidRPr="00464C5D" w:rsidRDefault="00464C5D" w:rsidP="0046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Discretize feature space (binning or clustering)</w:t>
      </w:r>
    </w:p>
    <w:p w14:paraId="5B63F484" w14:textId="77777777" w:rsidR="00464C5D" w:rsidRPr="00464C5D" w:rsidRDefault="00464C5D" w:rsidP="0046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Compute entropy over spectral clusters</w:t>
      </w:r>
    </w:p>
    <w:p w14:paraId="24A85168"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This captures </w:t>
      </w:r>
      <w:r w:rsidRPr="00464C5D">
        <w:rPr>
          <w:rFonts w:ascii="Times New Roman" w:eastAsia="Times New Roman" w:hAnsi="Times New Roman" w:cs="Times New Roman"/>
          <w:b/>
          <w:bCs/>
          <w:sz w:val="24"/>
          <w:szCs w:val="24"/>
        </w:rPr>
        <w:t>true spectral pattern variability</w:t>
      </w:r>
      <w:r w:rsidRPr="00464C5D">
        <w:rPr>
          <w:rFonts w:ascii="Times New Roman" w:eastAsia="Times New Roman" w:hAnsi="Times New Roman" w:cs="Times New Roman"/>
          <w:sz w:val="24"/>
          <w:szCs w:val="24"/>
        </w:rPr>
        <w:t>, not just brightness variation.</w:t>
      </w:r>
    </w:p>
    <w:p w14:paraId="6847DA5F"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Much better for heterogeneity scoring.</w:t>
      </w:r>
    </w:p>
    <w:p w14:paraId="27915551"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675FC1BA">
          <v:rect id="_x0000_i1059" style="width:0;height:1.5pt" o:hralign="center" o:hrstd="t" o:hr="t" fillcolor="#a0a0a0" stroked="f"/>
        </w:pict>
      </w:r>
    </w:p>
    <w:p w14:paraId="0D82BFFF"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Option C: Spectral angle entropy (very strong approach)</w:t>
      </w:r>
    </w:p>
    <w:p w14:paraId="6C0C5C9F" w14:textId="77777777" w:rsidR="00464C5D" w:rsidRPr="00464C5D" w:rsidRDefault="00464C5D" w:rsidP="0046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Compute spectral angle between pixels (Spectral Angle Mapper concept)</w:t>
      </w:r>
    </w:p>
    <w:p w14:paraId="314A2870" w14:textId="77777777" w:rsidR="00464C5D" w:rsidRPr="00464C5D" w:rsidRDefault="00464C5D" w:rsidP="0046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Build distribution of angles within window</w:t>
      </w:r>
    </w:p>
    <w:p w14:paraId="04FE2117" w14:textId="77777777" w:rsidR="00464C5D" w:rsidRPr="00464C5D" w:rsidRDefault="00464C5D" w:rsidP="0046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Compute entropy of angle distribution</w:t>
      </w:r>
    </w:p>
    <w:p w14:paraId="24481F03"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This isolates </w:t>
      </w:r>
      <w:r w:rsidRPr="00464C5D">
        <w:rPr>
          <w:rFonts w:ascii="Times New Roman" w:eastAsia="Times New Roman" w:hAnsi="Times New Roman" w:cs="Times New Roman"/>
          <w:b/>
          <w:bCs/>
          <w:sz w:val="24"/>
          <w:szCs w:val="24"/>
        </w:rPr>
        <w:t>shape variation independent of illumination</w:t>
      </w:r>
      <w:r w:rsidRPr="00464C5D">
        <w:rPr>
          <w:rFonts w:ascii="Times New Roman" w:eastAsia="Times New Roman" w:hAnsi="Times New Roman" w:cs="Times New Roman"/>
          <w:sz w:val="24"/>
          <w:szCs w:val="24"/>
        </w:rPr>
        <w:t>.</w:t>
      </w:r>
    </w:p>
    <w:p w14:paraId="7DDA7DA5"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Often superior for vegetation systems.</w:t>
      </w:r>
    </w:p>
    <w:p w14:paraId="42130EB0"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5F97DECD">
          <v:rect id="_x0000_i1060" style="width:0;height:1.5pt" o:hralign="center" o:hrstd="t" o:hr="t" fillcolor="#a0a0a0" stroked="f"/>
        </w:pict>
      </w:r>
    </w:p>
    <w:p w14:paraId="70275791"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3️</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Is Entropy a Good Spectral Heterogeneity Metric?</w:t>
      </w:r>
    </w:p>
    <w:p w14:paraId="30574984"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Good when:</w:t>
      </w:r>
    </w:p>
    <w:p w14:paraId="1FAC1FE7" w14:textId="77777777" w:rsidR="00464C5D" w:rsidRPr="00464C5D" w:rsidRDefault="00464C5D" w:rsidP="0046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want a scale-independent diversity metric</w:t>
      </w:r>
    </w:p>
    <w:p w14:paraId="29509751" w14:textId="77777777" w:rsidR="00464C5D" w:rsidRPr="00464C5D" w:rsidRDefault="00464C5D" w:rsidP="0046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compare windows of equal size</w:t>
      </w:r>
    </w:p>
    <w:p w14:paraId="13C9D353" w14:textId="77777777" w:rsidR="00464C5D" w:rsidRPr="00464C5D" w:rsidRDefault="00464C5D" w:rsidP="0046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normalize reflectance first</w:t>
      </w:r>
    </w:p>
    <w:p w14:paraId="40BCC2E9" w14:textId="77777777" w:rsidR="00464C5D" w:rsidRPr="00464C5D" w:rsidRDefault="00464C5D" w:rsidP="0046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control binning strategy</w:t>
      </w:r>
    </w:p>
    <w:p w14:paraId="248E417C"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Limitations:</w:t>
      </w:r>
    </w:p>
    <w:p w14:paraId="0072E78D" w14:textId="77777777" w:rsidR="00464C5D" w:rsidRPr="00464C5D" w:rsidRDefault="00464C5D" w:rsidP="0046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lastRenderedPageBreak/>
        <w:t>Sensitive to bin size / discretization</w:t>
      </w:r>
    </w:p>
    <w:p w14:paraId="5329B3DC" w14:textId="77777777" w:rsidR="00464C5D" w:rsidRPr="00464C5D" w:rsidRDefault="00464C5D" w:rsidP="0046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Cannot distinguish structured variation from random noise</w:t>
      </w:r>
    </w:p>
    <w:p w14:paraId="01E5DC23" w14:textId="77777777" w:rsidR="00464C5D" w:rsidRPr="00464C5D" w:rsidRDefault="00464C5D" w:rsidP="0046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High noise can inflate entropy</w:t>
      </w:r>
    </w:p>
    <w:p w14:paraId="6A3AE827" w14:textId="77777777" w:rsidR="00464C5D" w:rsidRPr="00464C5D" w:rsidRDefault="00464C5D" w:rsidP="0046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Does not capture spatial configuration (just distribution)</w:t>
      </w:r>
    </w:p>
    <w:p w14:paraId="70E91E46"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proofErr w:type="gramStart"/>
      <w:r w:rsidRPr="00464C5D">
        <w:rPr>
          <w:rFonts w:ascii="Times New Roman" w:eastAsia="Times New Roman" w:hAnsi="Times New Roman" w:cs="Times New Roman"/>
          <w:sz w:val="24"/>
          <w:szCs w:val="24"/>
        </w:rPr>
        <w:t>So</w:t>
      </w:r>
      <w:proofErr w:type="gramEnd"/>
      <w:r w:rsidRPr="00464C5D">
        <w:rPr>
          <w:rFonts w:ascii="Times New Roman" w:eastAsia="Times New Roman" w:hAnsi="Times New Roman" w:cs="Times New Roman"/>
          <w:sz w:val="24"/>
          <w:szCs w:val="24"/>
        </w:rPr>
        <w:t xml:space="preserve"> entropy measures:</w:t>
      </w:r>
    </w:p>
    <w:p w14:paraId="3A3B48CF" w14:textId="77777777" w:rsidR="00464C5D" w:rsidRPr="00464C5D" w:rsidRDefault="00464C5D" w:rsidP="00464C5D">
      <w:pPr>
        <w:spacing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Spectral diversity, not spatial pattern structure</w:t>
      </w:r>
    </w:p>
    <w:p w14:paraId="0F64FDE6"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If you care about spatial structure, consider:</w:t>
      </w:r>
    </w:p>
    <w:p w14:paraId="306D2C15" w14:textId="77777777" w:rsidR="00464C5D" w:rsidRPr="00464C5D" w:rsidRDefault="00464C5D" w:rsidP="00464C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Variograms</w:t>
      </w:r>
    </w:p>
    <w:p w14:paraId="6740FF10" w14:textId="77777777" w:rsidR="00464C5D" w:rsidRPr="00464C5D" w:rsidRDefault="00464C5D" w:rsidP="00464C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Moran’s I</w:t>
      </w:r>
    </w:p>
    <w:p w14:paraId="4385F60F" w14:textId="77777777" w:rsidR="00464C5D" w:rsidRPr="00464C5D" w:rsidRDefault="00464C5D" w:rsidP="00464C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GLCM texture metrics</w:t>
      </w:r>
    </w:p>
    <w:p w14:paraId="053D70D9" w14:textId="77777777" w:rsidR="00464C5D" w:rsidRPr="00464C5D" w:rsidRDefault="00464C5D" w:rsidP="00464C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Spectral variance or covariance matrices</w:t>
      </w:r>
    </w:p>
    <w:p w14:paraId="211EEEAE"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604B3D55">
          <v:rect id="_x0000_i1061" style="width:0;height:1.5pt" o:hralign="center" o:hrstd="t" o:hr="t" fillcolor="#a0a0a0" stroked="f"/>
        </w:pict>
      </w:r>
    </w:p>
    <w:p w14:paraId="3AB74561"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4️</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Is It Suitable as a “Spectral Heterogeneity Score”?</w:t>
      </w:r>
    </w:p>
    <w:p w14:paraId="23ED6E9C"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Yes — if:</w:t>
      </w:r>
    </w:p>
    <w:p w14:paraId="66B91E60" w14:textId="77777777" w:rsidR="00464C5D" w:rsidRPr="00464C5D" w:rsidRDefault="00464C5D" w:rsidP="00464C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 xml:space="preserve">You define it clearly as </w:t>
      </w:r>
      <w:r w:rsidRPr="00464C5D">
        <w:rPr>
          <w:rFonts w:ascii="Times New Roman" w:eastAsia="Times New Roman" w:hAnsi="Times New Roman" w:cs="Times New Roman"/>
          <w:b/>
          <w:bCs/>
          <w:sz w:val="24"/>
          <w:szCs w:val="24"/>
        </w:rPr>
        <w:t>spectral distribution entropy</w:t>
      </w:r>
    </w:p>
    <w:p w14:paraId="66CF428E" w14:textId="77777777" w:rsidR="00464C5D" w:rsidRPr="00464C5D" w:rsidRDefault="00464C5D" w:rsidP="00464C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normalize inputs</w:t>
      </w:r>
    </w:p>
    <w:p w14:paraId="38394131" w14:textId="77777777" w:rsidR="00464C5D" w:rsidRPr="00464C5D" w:rsidRDefault="00464C5D" w:rsidP="00464C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keep window size constant</w:t>
      </w:r>
    </w:p>
    <w:p w14:paraId="0786B518" w14:textId="77777777" w:rsidR="00464C5D" w:rsidRPr="00464C5D" w:rsidRDefault="00464C5D" w:rsidP="00464C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validate against ecological or material ground truth</w:t>
      </w:r>
    </w:p>
    <w:p w14:paraId="55DE0759"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Many ecological and remote sensing studies use entropy-like metrics for canopy heterogeneity.</w:t>
      </w:r>
    </w:p>
    <w:p w14:paraId="41CCD2EC"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It is particularly strong for:</w:t>
      </w:r>
    </w:p>
    <w:p w14:paraId="69C48FA8" w14:textId="77777777" w:rsidR="00464C5D" w:rsidRPr="00464C5D" w:rsidRDefault="00464C5D" w:rsidP="00464C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Mixed vegetation patches</w:t>
      </w:r>
    </w:p>
    <w:p w14:paraId="34C81DC3" w14:textId="77777777" w:rsidR="00464C5D" w:rsidRPr="00464C5D" w:rsidRDefault="00464C5D" w:rsidP="00464C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Stress detection</w:t>
      </w:r>
    </w:p>
    <w:p w14:paraId="7C2A93BC" w14:textId="77777777" w:rsidR="00464C5D" w:rsidRPr="00464C5D" w:rsidRDefault="00464C5D" w:rsidP="00464C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Species diversity proxies</w:t>
      </w:r>
    </w:p>
    <w:p w14:paraId="08728198" w14:textId="77777777" w:rsidR="00464C5D" w:rsidRPr="00464C5D" w:rsidRDefault="00464C5D" w:rsidP="00464C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Urban material mixture analysis</w:t>
      </w:r>
    </w:p>
    <w:p w14:paraId="2BE26615"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417CBE12">
          <v:rect id="_x0000_i1062" style="width:0;height:1.5pt" o:hralign="center" o:hrstd="t" o:hr="t" fillcolor="#a0a0a0" stroked="f"/>
        </w:pict>
      </w:r>
    </w:p>
    <w:p w14:paraId="27730082"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5️</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Practical Recommendation (Best Version)</w:t>
      </w:r>
    </w:p>
    <w:p w14:paraId="01E73CA5"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For hyperspectral data, I recommend:</w:t>
      </w:r>
    </w:p>
    <w:p w14:paraId="1F0E2903"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lastRenderedPageBreak/>
        <w:t>✔</w:t>
      </w:r>
      <w:r w:rsidRPr="00464C5D">
        <w:rPr>
          <w:rFonts w:ascii="Times New Roman" w:eastAsia="Times New Roman" w:hAnsi="Times New Roman" w:cs="Times New Roman"/>
          <w:b/>
          <w:bCs/>
          <w:sz w:val="27"/>
          <w:szCs w:val="27"/>
        </w:rPr>
        <w:t xml:space="preserve"> Step 1: Normalize spectra (unit vector or continuum removal)</w:t>
      </w:r>
    </w:p>
    <w:p w14:paraId="7D480BDD"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Step 2: PCA reduction (retain 95% variance)</w:t>
      </w:r>
    </w:p>
    <w:p w14:paraId="4FFC21D5"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Step 3: Cluster spectral vectors (k-means)</w:t>
      </w:r>
    </w:p>
    <w:p w14:paraId="16AACEA9" w14:textId="77777777" w:rsidR="00464C5D" w:rsidRPr="00464C5D" w:rsidRDefault="00464C5D" w:rsidP="00464C5D">
      <w:pPr>
        <w:spacing w:before="100" w:beforeAutospacing="1" w:after="100" w:afterAutospacing="1" w:line="240" w:lineRule="auto"/>
        <w:outlineLvl w:val="2"/>
        <w:rPr>
          <w:rFonts w:ascii="Times New Roman" w:eastAsia="Times New Roman" w:hAnsi="Times New Roman" w:cs="Times New Roman"/>
          <w:b/>
          <w:bCs/>
          <w:sz w:val="27"/>
          <w:szCs w:val="27"/>
        </w:rPr>
      </w:pPr>
      <w:r w:rsidRPr="00464C5D">
        <w:rPr>
          <w:rFonts w:ascii="Segoe UI Emoji" w:eastAsia="Times New Roman" w:hAnsi="Segoe UI Emoji" w:cs="Segoe UI Emoji"/>
          <w:b/>
          <w:bCs/>
          <w:sz w:val="27"/>
          <w:szCs w:val="27"/>
        </w:rPr>
        <w:t>✔</w:t>
      </w:r>
      <w:r w:rsidRPr="00464C5D">
        <w:rPr>
          <w:rFonts w:ascii="Times New Roman" w:eastAsia="Times New Roman" w:hAnsi="Times New Roman" w:cs="Times New Roman"/>
          <w:b/>
          <w:bCs/>
          <w:sz w:val="27"/>
          <w:szCs w:val="27"/>
        </w:rPr>
        <w:t xml:space="preserve"> Step 4: Compute Shannon entropy of cluster proportions within window</w:t>
      </w:r>
    </w:p>
    <w:p w14:paraId="31C6DA8C"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This gives a:</w:t>
      </w:r>
    </w:p>
    <w:p w14:paraId="34BB0CB2" w14:textId="77777777" w:rsidR="00464C5D" w:rsidRPr="00464C5D" w:rsidRDefault="00464C5D" w:rsidP="00464C5D">
      <w:pPr>
        <w:spacing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Robust, scale-controlled spectral heterogeneity index</w:t>
      </w:r>
    </w:p>
    <w:p w14:paraId="06E2C85B"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69948A5C">
          <v:rect id="_x0000_i1063" style="width:0;height:1.5pt" o:hralign="center" o:hrstd="t" o:hr="t" fillcolor="#a0a0a0" stroked="f"/>
        </w:pict>
      </w:r>
    </w:p>
    <w:p w14:paraId="452D0DAB"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6️</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Important Distinction</w:t>
      </w:r>
    </w:p>
    <w:p w14:paraId="6C724551"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Entropy measures:</w:t>
      </w:r>
    </w:p>
    <w:p w14:paraId="76DA195A" w14:textId="77777777" w:rsidR="00464C5D" w:rsidRPr="00464C5D" w:rsidRDefault="00464C5D" w:rsidP="00464C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Distribution unpredictability</w:t>
      </w:r>
    </w:p>
    <w:p w14:paraId="280B8550"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Variance measures:</w:t>
      </w:r>
    </w:p>
    <w:p w14:paraId="5D060C07" w14:textId="77777777" w:rsidR="00464C5D" w:rsidRPr="00464C5D" w:rsidRDefault="00464C5D" w:rsidP="00464C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Magnitude dispersion</w:t>
      </w:r>
    </w:p>
    <w:p w14:paraId="4C084AB3"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These are related but not equivalent.</w:t>
      </w:r>
    </w:p>
    <w:p w14:paraId="75268CEA"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You may actually want both.</w:t>
      </w:r>
    </w:p>
    <w:p w14:paraId="62F8EFAE" w14:textId="77777777" w:rsidR="00464C5D" w:rsidRPr="00464C5D" w:rsidRDefault="00464C5D" w:rsidP="00464C5D">
      <w:pPr>
        <w:spacing w:after="0"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pict w14:anchorId="028CD2C1">
          <v:rect id="_x0000_i1064" style="width:0;height:1.5pt" o:hralign="center" o:hrstd="t" o:hr="t" fillcolor="#a0a0a0" stroked="f"/>
        </w:pict>
      </w:r>
    </w:p>
    <w:p w14:paraId="030FDE06" w14:textId="77777777" w:rsidR="00464C5D" w:rsidRPr="00464C5D" w:rsidRDefault="00464C5D" w:rsidP="0046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4C5D">
        <w:rPr>
          <w:rFonts w:ascii="Times New Roman" w:eastAsia="Times New Roman" w:hAnsi="Times New Roman" w:cs="Times New Roman"/>
          <w:b/>
          <w:bCs/>
          <w:kern w:val="36"/>
          <w:sz w:val="48"/>
          <w:szCs w:val="48"/>
        </w:rPr>
        <w:t>7️</w:t>
      </w:r>
      <w:r w:rsidRPr="00464C5D">
        <w:rPr>
          <w:rFonts w:ascii="Tahoma" w:eastAsia="Times New Roman" w:hAnsi="Tahoma" w:cs="Tahoma"/>
          <w:b/>
          <w:bCs/>
          <w:kern w:val="36"/>
          <w:sz w:val="48"/>
          <w:szCs w:val="48"/>
        </w:rPr>
        <w:t>⃣</w:t>
      </w:r>
      <w:r w:rsidRPr="00464C5D">
        <w:rPr>
          <w:rFonts w:ascii="Times New Roman" w:eastAsia="Times New Roman" w:hAnsi="Times New Roman" w:cs="Times New Roman"/>
          <w:b/>
          <w:bCs/>
          <w:kern w:val="36"/>
          <w:sz w:val="48"/>
          <w:szCs w:val="48"/>
        </w:rPr>
        <w:t xml:space="preserve"> Final Verdict</w:t>
      </w:r>
    </w:p>
    <w:p w14:paraId="12C550AB"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Segoe UI Emoji" w:eastAsia="Times New Roman" w:hAnsi="Segoe UI Emoji" w:cs="Segoe UI Emoji"/>
          <w:sz w:val="24"/>
          <w:szCs w:val="24"/>
        </w:rPr>
        <w:t>✔</w:t>
      </w:r>
      <w:r w:rsidRPr="00464C5D">
        <w:rPr>
          <w:rFonts w:ascii="Times New Roman" w:eastAsia="Times New Roman" w:hAnsi="Times New Roman" w:cs="Times New Roman"/>
          <w:sz w:val="24"/>
          <w:szCs w:val="24"/>
        </w:rPr>
        <w:t xml:space="preserve"> Yes, entropy can quantify hyperspectral randomness within a window</w:t>
      </w:r>
      <w:r w:rsidRPr="00464C5D">
        <w:rPr>
          <w:rFonts w:ascii="Times New Roman" w:eastAsia="Times New Roman" w:hAnsi="Times New Roman" w:cs="Times New Roman"/>
          <w:sz w:val="24"/>
          <w:szCs w:val="24"/>
        </w:rPr>
        <w:br/>
      </w:r>
      <w:r w:rsidRPr="00464C5D">
        <w:rPr>
          <w:rFonts w:ascii="Segoe UI Emoji" w:eastAsia="Times New Roman" w:hAnsi="Segoe UI Emoji" w:cs="Segoe UI Emoji"/>
          <w:sz w:val="24"/>
          <w:szCs w:val="24"/>
        </w:rPr>
        <w:t>✔</w:t>
      </w:r>
      <w:r w:rsidRPr="00464C5D">
        <w:rPr>
          <w:rFonts w:ascii="Times New Roman" w:eastAsia="Times New Roman" w:hAnsi="Times New Roman" w:cs="Times New Roman"/>
          <w:sz w:val="24"/>
          <w:szCs w:val="24"/>
        </w:rPr>
        <w:t xml:space="preserve"> Yes, it can function as a spectral heterogeneity score</w:t>
      </w:r>
      <w:r w:rsidRPr="00464C5D">
        <w:rPr>
          <w:rFonts w:ascii="Times New Roman" w:eastAsia="Times New Roman" w:hAnsi="Times New Roman" w:cs="Times New Roman"/>
          <w:sz w:val="24"/>
          <w:szCs w:val="24"/>
        </w:rPr>
        <w:br/>
      </w:r>
      <w:r w:rsidRPr="00464C5D">
        <w:rPr>
          <w:rFonts w:ascii="Segoe UI Emoji" w:eastAsia="Times New Roman" w:hAnsi="Segoe UI Emoji" w:cs="Segoe UI Emoji"/>
          <w:sz w:val="24"/>
          <w:szCs w:val="24"/>
        </w:rPr>
        <w:t>✔</w:t>
      </w:r>
      <w:r w:rsidRPr="00464C5D">
        <w:rPr>
          <w:rFonts w:ascii="Times New Roman" w:eastAsia="Times New Roman" w:hAnsi="Times New Roman" w:cs="Times New Roman"/>
          <w:sz w:val="24"/>
          <w:szCs w:val="24"/>
        </w:rPr>
        <w:t xml:space="preserve"> It works best when applied to spectral patterns, not raw bands</w:t>
      </w:r>
      <w:r w:rsidRPr="00464C5D">
        <w:rPr>
          <w:rFonts w:ascii="Times New Roman" w:eastAsia="Times New Roman" w:hAnsi="Times New Roman" w:cs="Times New Roman"/>
          <w:sz w:val="24"/>
          <w:szCs w:val="24"/>
        </w:rPr>
        <w:br/>
      </w:r>
      <w:r w:rsidRPr="00464C5D">
        <w:rPr>
          <w:rFonts w:ascii="Segoe UI Emoji" w:eastAsia="Times New Roman" w:hAnsi="Segoe UI Emoji" w:cs="Segoe UI Emoji"/>
          <w:sz w:val="24"/>
          <w:szCs w:val="24"/>
        </w:rPr>
        <w:t>⚠</w:t>
      </w:r>
      <w:r w:rsidRPr="00464C5D">
        <w:rPr>
          <w:rFonts w:ascii="Times New Roman" w:eastAsia="Times New Roman" w:hAnsi="Times New Roman" w:cs="Times New Roman"/>
          <w:sz w:val="24"/>
          <w:szCs w:val="24"/>
        </w:rPr>
        <w:t xml:space="preserve"> It should not be used alone without noise control</w:t>
      </w:r>
    </w:p>
    <w:p w14:paraId="36B46459" w14:textId="77777777" w:rsidR="00464C5D" w:rsidRPr="00464C5D" w:rsidRDefault="00464C5D" w:rsidP="00464C5D">
      <w:p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If you’d like, I can:</w:t>
      </w:r>
    </w:p>
    <w:p w14:paraId="417A8BF7" w14:textId="77777777" w:rsidR="00464C5D" w:rsidRPr="00464C5D" w:rsidRDefault="00464C5D" w:rsidP="00464C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Help design a formal Spectral Entropy Index (SEI)</w:t>
      </w:r>
    </w:p>
    <w:p w14:paraId="15585036" w14:textId="77777777" w:rsidR="00464C5D" w:rsidRPr="00464C5D" w:rsidRDefault="00464C5D" w:rsidP="00464C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Show you the math implementation</w:t>
      </w:r>
    </w:p>
    <w:p w14:paraId="7809D40C" w14:textId="77777777" w:rsidR="00464C5D" w:rsidRPr="00464C5D" w:rsidRDefault="00464C5D" w:rsidP="00464C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t>Help compare entropy vs variance vs spectral angle spread</w:t>
      </w:r>
    </w:p>
    <w:p w14:paraId="2C18C58C" w14:textId="77777777" w:rsidR="00464C5D" w:rsidRPr="00464C5D" w:rsidRDefault="00464C5D" w:rsidP="00464C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64C5D">
        <w:rPr>
          <w:rFonts w:ascii="Times New Roman" w:eastAsia="Times New Roman" w:hAnsi="Times New Roman" w:cs="Times New Roman"/>
          <w:sz w:val="24"/>
          <w:szCs w:val="24"/>
        </w:rPr>
        <w:lastRenderedPageBreak/>
        <w:t>Suggest validation strategies for publication-level work</w:t>
      </w:r>
    </w:p>
    <w:p w14:paraId="604BD002" w14:textId="77777777" w:rsidR="00464C5D" w:rsidRDefault="00464C5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82D796D" w14:textId="4D5F68FF" w:rsidR="00F64164" w:rsidRPr="00F64164" w:rsidRDefault="00464C5D" w:rsidP="00F64164">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Pr>
          <w:rFonts w:ascii="Times New Roman" w:eastAsia="Times New Roman" w:hAnsi="Times New Roman" w:cs="Times New Roman"/>
          <w:b/>
          <w:bCs/>
          <w:sz w:val="36"/>
          <w:szCs w:val="36"/>
        </w:rPr>
        <w:lastRenderedPageBreak/>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sidR="00F64164" w:rsidRPr="00F64164">
        <w:rPr>
          <w:rFonts w:ascii="Times New Roman" w:eastAsia="Times New Roman" w:hAnsi="Times New Roman" w:cs="Times New Roman"/>
          <w:b/>
          <w:bCs/>
          <w:sz w:val="36"/>
          <w:szCs w:val="36"/>
        </w:rPr>
        <w:t>Phylogenetic Relevance of Tree Species Identification Using Drone-Based Hyperspectral Remote Sensing</w:t>
      </w:r>
    </w:p>
    <w:p w14:paraId="13982D35"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1. Introduction</w:t>
      </w:r>
    </w:p>
    <w:p w14:paraId="500AFF3A"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Phylogenetics examines the evolutionary relationships among species based on shared ancestry and functional traits. In forest ecosystems, closely related tree species often exhibit similar biochemical, structural, and physiological characteristics. Drone-based hyperspectral remote sensing provides a powerful tool to detect these traits at high spatial and spectral resolution, enabling species-level discrimination and insights into phylogenetic patterns across landscapes.</w:t>
      </w:r>
    </w:p>
    <w:p w14:paraId="50EE3E05"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AE2BC9">
          <v:rect id="_x0000_i1025" style="width:0;height:1.5pt" o:hralign="center" o:hrstd="t" o:hr="t" fillcolor="#a0a0a0" stroked="f"/>
        </w:pict>
      </w:r>
    </w:p>
    <w:p w14:paraId="5ECE1982"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2. Hyperspectral Signatures and Phylogenetic Signals</w:t>
      </w:r>
    </w:p>
    <w:p w14:paraId="23B58C4F"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Hyperspectral sensors capture reflectance across hundreds of narrow, contiguous spectral bands, which are sensitive to plant traits such as:</w:t>
      </w:r>
    </w:p>
    <w:p w14:paraId="06D484C0" w14:textId="77777777" w:rsidR="00F64164" w:rsidRPr="00F64164" w:rsidRDefault="00F64164" w:rsidP="00F641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Leaf pigments (chlorophylls, carotenoids, anthocyanins)</w:t>
      </w:r>
    </w:p>
    <w:p w14:paraId="21F56942" w14:textId="77777777" w:rsidR="00F64164" w:rsidRPr="00F64164" w:rsidRDefault="00F64164" w:rsidP="00F641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Water content</w:t>
      </w:r>
    </w:p>
    <w:p w14:paraId="5ED3C298" w14:textId="77777777" w:rsidR="00F64164" w:rsidRPr="00F64164" w:rsidRDefault="00F64164" w:rsidP="00F641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Leaf mass per area (LMA)</w:t>
      </w:r>
    </w:p>
    <w:p w14:paraId="7CDD3534" w14:textId="77777777" w:rsidR="00F64164" w:rsidRPr="00F64164" w:rsidRDefault="00F64164" w:rsidP="00F641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Nitrogen and cellulose content</w:t>
      </w:r>
    </w:p>
    <w:p w14:paraId="4D4F12FC" w14:textId="77777777" w:rsidR="00F64164" w:rsidRPr="00F64164" w:rsidRDefault="00F64164" w:rsidP="00F641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Secondary metabolites (e.g., lignin, phenolics)</w:t>
      </w:r>
    </w:p>
    <w:p w14:paraId="6D983A91"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These traits are often </w:t>
      </w:r>
      <w:r w:rsidRPr="00F64164">
        <w:rPr>
          <w:rFonts w:ascii="Times New Roman" w:eastAsia="Times New Roman" w:hAnsi="Times New Roman" w:cs="Times New Roman"/>
          <w:b/>
          <w:bCs/>
          <w:sz w:val="24"/>
          <w:szCs w:val="24"/>
        </w:rPr>
        <w:t>phylogenetically conserved</w:t>
      </w:r>
      <w:r w:rsidRPr="00F64164">
        <w:rPr>
          <w:rFonts w:ascii="Times New Roman" w:eastAsia="Times New Roman" w:hAnsi="Times New Roman" w:cs="Times New Roman"/>
          <w:sz w:val="24"/>
          <w:szCs w:val="24"/>
        </w:rPr>
        <w:t>, meaning closely related species tend to have similar spectral signatures. As a result:</w:t>
      </w:r>
    </w:p>
    <w:p w14:paraId="040BB189" w14:textId="77777777" w:rsidR="00F64164" w:rsidRPr="00F64164" w:rsidRDefault="00F64164" w:rsidP="00F641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Species within the same genus or family may cluster together in spectral feature space</w:t>
      </w:r>
    </w:p>
    <w:p w14:paraId="4FA674C3" w14:textId="77777777" w:rsidR="00F64164" w:rsidRPr="00F64164" w:rsidRDefault="00F64164" w:rsidP="00F641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Spectral similarity can reflect evolutionary relatedness, not just ecological similarity</w:t>
      </w:r>
    </w:p>
    <w:p w14:paraId="3FDA4C2F"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This makes hyperspectral data useful for identifying </w:t>
      </w:r>
      <w:r w:rsidRPr="00F64164">
        <w:rPr>
          <w:rFonts w:ascii="Times New Roman" w:eastAsia="Times New Roman" w:hAnsi="Times New Roman" w:cs="Times New Roman"/>
          <w:b/>
          <w:bCs/>
          <w:sz w:val="24"/>
          <w:szCs w:val="24"/>
        </w:rPr>
        <w:t>phylogenetic structure</w:t>
      </w:r>
      <w:r w:rsidRPr="00F64164">
        <w:rPr>
          <w:rFonts w:ascii="Times New Roman" w:eastAsia="Times New Roman" w:hAnsi="Times New Roman" w:cs="Times New Roman"/>
          <w:sz w:val="24"/>
          <w:szCs w:val="24"/>
        </w:rPr>
        <w:t xml:space="preserve"> in forest communities.</w:t>
      </w:r>
    </w:p>
    <w:p w14:paraId="34A97DC4"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28BA5">
          <v:rect id="_x0000_i1026" style="width:0;height:1.5pt" o:hralign="center" o:hrstd="t" o:hr="t" fillcolor="#a0a0a0" stroked="f"/>
        </w:pict>
      </w:r>
    </w:p>
    <w:p w14:paraId="654AA81C"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3. Advantages of Drone-Based Platforms for Phylogenetic Studies</w:t>
      </w:r>
    </w:p>
    <w:p w14:paraId="7C202730"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Unmanned Aerial Vehicles (UAVs) enhance phylogenetic remote sensing by offering:</w:t>
      </w:r>
    </w:p>
    <w:p w14:paraId="788C67A7" w14:textId="77777777" w:rsidR="00F64164" w:rsidRPr="00F64164" w:rsidRDefault="00F64164" w:rsidP="00F641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b/>
          <w:bCs/>
          <w:sz w:val="24"/>
          <w:szCs w:val="24"/>
        </w:rPr>
        <w:t>Very high spatial resolution</w:t>
      </w:r>
      <w:r w:rsidRPr="00F64164">
        <w:rPr>
          <w:rFonts w:ascii="Times New Roman" w:eastAsia="Times New Roman" w:hAnsi="Times New Roman" w:cs="Times New Roman"/>
          <w:sz w:val="24"/>
          <w:szCs w:val="24"/>
        </w:rPr>
        <w:t xml:space="preserve"> (centimeter-level), reducing spectral mixing</w:t>
      </w:r>
    </w:p>
    <w:p w14:paraId="3D715E64" w14:textId="77777777" w:rsidR="00F64164" w:rsidRPr="00F64164" w:rsidRDefault="00F64164" w:rsidP="00F641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lastRenderedPageBreak/>
        <w:t>Flexible acquisition timing to match phenological stages</w:t>
      </w:r>
    </w:p>
    <w:p w14:paraId="413EEB62" w14:textId="77777777" w:rsidR="00F64164" w:rsidRPr="00F64164" w:rsidRDefault="00F64164" w:rsidP="00F641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Access to complex or remote forest areas</w:t>
      </w:r>
    </w:p>
    <w:p w14:paraId="25D8EC44" w14:textId="77777777" w:rsidR="00F64164" w:rsidRPr="00F64164" w:rsidRDefault="00F64164" w:rsidP="00F641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Canopy-level trait mapping at individual-tree scale</w:t>
      </w:r>
    </w:p>
    <w:p w14:paraId="0DECA221"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This allows researchers to link </w:t>
      </w:r>
      <w:r w:rsidRPr="00F64164">
        <w:rPr>
          <w:rFonts w:ascii="Times New Roman" w:eastAsia="Times New Roman" w:hAnsi="Times New Roman" w:cs="Times New Roman"/>
          <w:b/>
          <w:bCs/>
          <w:sz w:val="24"/>
          <w:szCs w:val="24"/>
        </w:rPr>
        <w:t>individual tree crowns</w:t>
      </w:r>
      <w:r w:rsidRPr="00F64164">
        <w:rPr>
          <w:rFonts w:ascii="Times New Roman" w:eastAsia="Times New Roman" w:hAnsi="Times New Roman" w:cs="Times New Roman"/>
          <w:sz w:val="24"/>
          <w:szCs w:val="24"/>
        </w:rPr>
        <w:t xml:space="preserve"> with phylogenetic information, a major advance over satellite-based approaches.</w:t>
      </w:r>
    </w:p>
    <w:p w14:paraId="4A149305"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4419AD">
          <v:rect id="_x0000_i1027" style="width:0;height:1.5pt" o:hralign="center" o:hrstd="t" o:hr="t" fillcolor="#a0a0a0" stroked="f"/>
        </w:pict>
      </w:r>
    </w:p>
    <w:p w14:paraId="12590827"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4. Phylogenetic Diversity and Community Assembly</w:t>
      </w:r>
    </w:p>
    <w:p w14:paraId="7C9A71C4"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Drone-based hyperspectral data can be used to:</w:t>
      </w:r>
    </w:p>
    <w:p w14:paraId="4C0B75D9" w14:textId="77777777" w:rsidR="00F64164" w:rsidRPr="00F64164" w:rsidRDefault="00F64164" w:rsidP="00F641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Estimate </w:t>
      </w:r>
      <w:r w:rsidRPr="00F64164">
        <w:rPr>
          <w:rFonts w:ascii="Times New Roman" w:eastAsia="Times New Roman" w:hAnsi="Times New Roman" w:cs="Times New Roman"/>
          <w:b/>
          <w:bCs/>
          <w:sz w:val="24"/>
          <w:szCs w:val="24"/>
        </w:rPr>
        <w:t>phylogenetic diversity (PD)</w:t>
      </w:r>
      <w:r w:rsidRPr="00F64164">
        <w:rPr>
          <w:rFonts w:ascii="Times New Roman" w:eastAsia="Times New Roman" w:hAnsi="Times New Roman" w:cs="Times New Roman"/>
          <w:sz w:val="24"/>
          <w:szCs w:val="24"/>
        </w:rPr>
        <w:t xml:space="preserve"> and </w:t>
      </w:r>
      <w:r w:rsidRPr="00F64164">
        <w:rPr>
          <w:rFonts w:ascii="Times New Roman" w:eastAsia="Times New Roman" w:hAnsi="Times New Roman" w:cs="Times New Roman"/>
          <w:b/>
          <w:bCs/>
          <w:sz w:val="24"/>
          <w:szCs w:val="24"/>
        </w:rPr>
        <w:t>functional diversity</w:t>
      </w:r>
    </w:p>
    <w:p w14:paraId="6EB4D33B" w14:textId="77777777" w:rsidR="00F64164" w:rsidRPr="00F64164" w:rsidRDefault="00F64164" w:rsidP="00F641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Analyze </w:t>
      </w:r>
      <w:r w:rsidRPr="00F64164">
        <w:rPr>
          <w:rFonts w:ascii="Times New Roman" w:eastAsia="Times New Roman" w:hAnsi="Times New Roman" w:cs="Times New Roman"/>
          <w:b/>
          <w:bCs/>
          <w:sz w:val="24"/>
          <w:szCs w:val="24"/>
        </w:rPr>
        <w:t>community assembly processes</w:t>
      </w:r>
      <w:r w:rsidRPr="00F64164">
        <w:rPr>
          <w:rFonts w:ascii="Times New Roman" w:eastAsia="Times New Roman" w:hAnsi="Times New Roman" w:cs="Times New Roman"/>
          <w:sz w:val="24"/>
          <w:szCs w:val="24"/>
        </w:rPr>
        <w:t xml:space="preserve"> (environmental filtering vs. competitive exclusion)</w:t>
      </w:r>
    </w:p>
    <w:p w14:paraId="2A1870A0" w14:textId="77777777" w:rsidR="00F64164" w:rsidRPr="00F64164" w:rsidRDefault="00F64164" w:rsidP="00F641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Detect </w:t>
      </w:r>
      <w:r w:rsidRPr="00F64164">
        <w:rPr>
          <w:rFonts w:ascii="Times New Roman" w:eastAsia="Times New Roman" w:hAnsi="Times New Roman" w:cs="Times New Roman"/>
          <w:b/>
          <w:bCs/>
          <w:sz w:val="24"/>
          <w:szCs w:val="24"/>
        </w:rPr>
        <w:t>phylogenetic clustering or overdispersion</w:t>
      </w:r>
      <w:r w:rsidRPr="00F64164">
        <w:rPr>
          <w:rFonts w:ascii="Times New Roman" w:eastAsia="Times New Roman" w:hAnsi="Times New Roman" w:cs="Times New Roman"/>
          <w:sz w:val="24"/>
          <w:szCs w:val="24"/>
        </w:rPr>
        <w:t xml:space="preserve"> in forest stands</w:t>
      </w:r>
    </w:p>
    <w:p w14:paraId="06A57D13"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For example:</w:t>
      </w:r>
    </w:p>
    <w:p w14:paraId="15BBF84E" w14:textId="77777777" w:rsidR="00F64164" w:rsidRPr="00F64164" w:rsidRDefault="00F64164" w:rsidP="00F641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Phylogenetically clustered communities may indicate strong environmental filtering</w:t>
      </w:r>
    </w:p>
    <w:p w14:paraId="673176DD" w14:textId="77777777" w:rsidR="00F64164" w:rsidRPr="00F64164" w:rsidRDefault="00F64164" w:rsidP="00F6416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64164">
        <w:rPr>
          <w:rFonts w:ascii="Times New Roman" w:eastAsia="Times New Roman" w:hAnsi="Times New Roman" w:cs="Times New Roman"/>
          <w:sz w:val="24"/>
          <w:szCs w:val="24"/>
        </w:rPr>
        <w:t>Overdispersed</w:t>
      </w:r>
      <w:proofErr w:type="spellEnd"/>
      <w:r w:rsidRPr="00F64164">
        <w:rPr>
          <w:rFonts w:ascii="Times New Roman" w:eastAsia="Times New Roman" w:hAnsi="Times New Roman" w:cs="Times New Roman"/>
          <w:sz w:val="24"/>
          <w:szCs w:val="24"/>
        </w:rPr>
        <w:t xml:space="preserve"> patterns may suggest competitive interactions among distantly related species</w:t>
      </w:r>
    </w:p>
    <w:p w14:paraId="6FA9F4C4"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9C86E">
          <v:rect id="_x0000_i1028" style="width:0;height:1.5pt" o:hralign="center" o:hrstd="t" o:hr="t" fillcolor="#a0a0a0" stroked="f"/>
        </w:pict>
      </w:r>
    </w:p>
    <w:p w14:paraId="66200667"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5. Scaling Phylogenetics from Leaves to Landscapes</w:t>
      </w:r>
    </w:p>
    <w:p w14:paraId="75A2795A"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Traditionally, phylogenetic studies rely on field sampling and genetic data, which are labor-intensive and spatially limited. Hyperspectral UAV data enable:</w:t>
      </w:r>
    </w:p>
    <w:p w14:paraId="75166D06" w14:textId="77777777" w:rsidR="00F64164" w:rsidRPr="00F64164" w:rsidRDefault="00F64164" w:rsidP="00F641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Scaling up from leaf-level trait measurements to landscape-level phylogenetic patterns</w:t>
      </w:r>
    </w:p>
    <w:p w14:paraId="78617EC8" w14:textId="77777777" w:rsidR="00F64164" w:rsidRPr="00F64164" w:rsidRDefault="00F64164" w:rsidP="00F641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Integrating spectral traits with molecular phylogenies</w:t>
      </w:r>
    </w:p>
    <w:p w14:paraId="4F49A562" w14:textId="77777777" w:rsidR="00F64164" w:rsidRPr="00F64164" w:rsidRDefault="00F64164" w:rsidP="00F641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Mapping evolutionary lineages across heterogeneous environments</w:t>
      </w:r>
    </w:p>
    <w:p w14:paraId="575A7BA3"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 xml:space="preserve">This supports the emerging concept of </w:t>
      </w:r>
      <w:r w:rsidRPr="00F64164">
        <w:rPr>
          <w:rFonts w:ascii="Times New Roman" w:eastAsia="Times New Roman" w:hAnsi="Times New Roman" w:cs="Times New Roman"/>
          <w:b/>
          <w:bCs/>
          <w:sz w:val="24"/>
          <w:szCs w:val="24"/>
        </w:rPr>
        <w:t>“spectral phylogenetics”</w:t>
      </w:r>
      <w:r w:rsidRPr="00F64164">
        <w:rPr>
          <w:rFonts w:ascii="Times New Roman" w:eastAsia="Times New Roman" w:hAnsi="Times New Roman" w:cs="Times New Roman"/>
          <w:sz w:val="24"/>
          <w:szCs w:val="24"/>
        </w:rPr>
        <w:t>.</w:t>
      </w:r>
    </w:p>
    <w:p w14:paraId="454610A7"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B01D9">
          <v:rect id="_x0000_i1029" style="width:0;height:1.5pt" o:hralign="center" o:hrstd="t" o:hr="t" fillcolor="#a0a0a0" stroked="f"/>
        </w:pict>
      </w:r>
    </w:p>
    <w:p w14:paraId="2BF9BAD9"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6. Applications in Conservation and Forest Management</w:t>
      </w:r>
    </w:p>
    <w:p w14:paraId="2681EB0E"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Understanding phylogenetic patterns using hyperspectral data supports:</w:t>
      </w:r>
    </w:p>
    <w:p w14:paraId="612331DB" w14:textId="77777777" w:rsidR="00F64164" w:rsidRPr="00F64164" w:rsidRDefault="00F64164" w:rsidP="00F641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Identification of evolutionarily distinct or rare lineages</w:t>
      </w:r>
    </w:p>
    <w:p w14:paraId="1E3C7A20" w14:textId="77777777" w:rsidR="00F64164" w:rsidRPr="00F64164" w:rsidRDefault="00F64164" w:rsidP="00F641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Monitoring loss of phylogenetic diversity due to deforestation or climate change</w:t>
      </w:r>
    </w:p>
    <w:p w14:paraId="1125CFC1" w14:textId="77777777" w:rsidR="00F64164" w:rsidRPr="00F64164" w:rsidRDefault="00F64164" w:rsidP="00F641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Prioritizing conservation areas based on evolutionary history</w:t>
      </w:r>
    </w:p>
    <w:p w14:paraId="729FE671" w14:textId="77777777" w:rsidR="00F64164" w:rsidRPr="00F64164" w:rsidRDefault="00F64164" w:rsidP="00F641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lastRenderedPageBreak/>
        <w:t>Detecting invasive species with distinct phylogenetic signatures</w:t>
      </w:r>
    </w:p>
    <w:p w14:paraId="7B587A41"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72AC29">
          <v:rect id="_x0000_i1030" style="width:0;height:1.5pt" o:hralign="center" o:hrstd="t" o:hr="t" fillcolor="#a0a0a0" stroked="f"/>
        </w:pict>
      </w:r>
    </w:p>
    <w:p w14:paraId="0C56FD89"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7. Challenges and Limitations</w:t>
      </w:r>
    </w:p>
    <w:p w14:paraId="0049363B"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Despite its potential, several challenges remain:</w:t>
      </w:r>
    </w:p>
    <w:p w14:paraId="13B23786" w14:textId="77777777" w:rsidR="00F64164" w:rsidRPr="00F64164" w:rsidRDefault="00F64164" w:rsidP="00F641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Spectral similarity among closely related species can cause misclassification</w:t>
      </w:r>
    </w:p>
    <w:p w14:paraId="3708CB1A" w14:textId="77777777" w:rsidR="00F64164" w:rsidRPr="00F64164" w:rsidRDefault="00F64164" w:rsidP="00F641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Phenological and environmental effects may obscure phylogenetic signals</w:t>
      </w:r>
    </w:p>
    <w:p w14:paraId="676467DC" w14:textId="77777777" w:rsidR="00F64164" w:rsidRPr="00F64164" w:rsidRDefault="00F64164" w:rsidP="00F641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Requires integration with field-based trait and phylogenetic data</w:t>
      </w:r>
    </w:p>
    <w:p w14:paraId="11F156EA" w14:textId="77777777" w:rsidR="00F64164" w:rsidRPr="00F64164" w:rsidRDefault="00F64164" w:rsidP="00F641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High data volume and computational complexity</w:t>
      </w:r>
    </w:p>
    <w:p w14:paraId="72A00960" w14:textId="77777777" w:rsidR="00F64164" w:rsidRPr="00F64164" w:rsidRDefault="00464C5D" w:rsidP="00F641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4381EE">
          <v:rect id="_x0000_i1031" style="width:0;height:1.5pt" o:hralign="center" o:hrstd="t" o:hr="t" fillcolor="#a0a0a0" stroked="f"/>
        </w:pict>
      </w:r>
    </w:p>
    <w:p w14:paraId="009494D3" w14:textId="77777777" w:rsidR="00F64164" w:rsidRPr="00F64164" w:rsidRDefault="00F64164" w:rsidP="00F64164">
      <w:pPr>
        <w:spacing w:before="100" w:beforeAutospacing="1" w:after="100" w:afterAutospacing="1" w:line="240" w:lineRule="auto"/>
        <w:outlineLvl w:val="2"/>
        <w:rPr>
          <w:rFonts w:ascii="Times New Roman" w:eastAsia="Times New Roman" w:hAnsi="Times New Roman" w:cs="Times New Roman"/>
          <w:b/>
          <w:bCs/>
          <w:sz w:val="27"/>
          <w:szCs w:val="27"/>
        </w:rPr>
      </w:pPr>
      <w:r w:rsidRPr="00F64164">
        <w:rPr>
          <w:rFonts w:ascii="Times New Roman" w:eastAsia="Times New Roman" w:hAnsi="Times New Roman" w:cs="Times New Roman"/>
          <w:b/>
          <w:bCs/>
          <w:sz w:val="27"/>
          <w:szCs w:val="27"/>
        </w:rPr>
        <w:t>8. Conclusion</w:t>
      </w:r>
    </w:p>
    <w:p w14:paraId="5F1E1A53" w14:textId="77777777" w:rsidR="00F64164" w:rsidRPr="00F64164" w:rsidRDefault="00F64164" w:rsidP="00F64164">
      <w:pPr>
        <w:spacing w:before="100" w:beforeAutospacing="1" w:after="100" w:afterAutospacing="1" w:line="240" w:lineRule="auto"/>
        <w:rPr>
          <w:rFonts w:ascii="Times New Roman" w:eastAsia="Times New Roman" w:hAnsi="Times New Roman" w:cs="Times New Roman"/>
          <w:sz w:val="24"/>
          <w:szCs w:val="24"/>
        </w:rPr>
      </w:pPr>
      <w:r w:rsidRPr="00F64164">
        <w:rPr>
          <w:rFonts w:ascii="Times New Roman" w:eastAsia="Times New Roman" w:hAnsi="Times New Roman" w:cs="Times New Roman"/>
          <w:sz w:val="24"/>
          <w:szCs w:val="24"/>
        </w:rPr>
        <w:t>Drone-based hyperspectral remote sensing offers a novel and powerful approach for investigating the phylogenetic relevance of tree species in forest ecosystems. By capturing evolutionarily conserved plant traits at high resolution, this technology enables species discrimination, assessment of phylogenetic diversity, and landscape-scale evolutionary analyses, bridging the gap between remote sensing, functional ecology, and evolutionary biology.</w:t>
      </w:r>
    </w:p>
    <w:p w14:paraId="20E4BA6C" w14:textId="77777777" w:rsidR="00F64164" w:rsidRDefault="00F64164"/>
    <w:p w14:paraId="01D07F21" w14:textId="77777777" w:rsidR="0007322B" w:rsidRDefault="0007322B"/>
    <w:p w14:paraId="36A9C9D0"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Yes — </w:t>
      </w:r>
      <w:r w:rsidRPr="002C6CC7">
        <w:rPr>
          <w:rFonts w:ascii="Times New Roman" w:eastAsia="Times New Roman" w:hAnsi="Times New Roman" w:cs="Times New Roman"/>
          <w:b/>
          <w:bCs/>
          <w:sz w:val="24"/>
          <w:szCs w:val="24"/>
        </w:rPr>
        <w:t>there are well-established ways to measure evolutionary (phylogenetic) diversity of tree species in an area</w:t>
      </w:r>
      <w:r w:rsidRPr="002C6CC7">
        <w:rPr>
          <w:rFonts w:ascii="Times New Roman" w:eastAsia="Times New Roman" w:hAnsi="Times New Roman" w:cs="Times New Roman"/>
          <w:sz w:val="24"/>
          <w:szCs w:val="24"/>
        </w:rPr>
        <w:t>, and they go well beyond simple species counts. This is an active area in ecology, conservation biology, and forest science.</w:t>
      </w:r>
    </w:p>
    <w:p w14:paraId="2AB00C94"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Below is a </w:t>
      </w:r>
      <w:r w:rsidRPr="002C6CC7">
        <w:rPr>
          <w:rFonts w:ascii="Times New Roman" w:eastAsia="Times New Roman" w:hAnsi="Times New Roman" w:cs="Times New Roman"/>
          <w:b/>
          <w:bCs/>
          <w:sz w:val="24"/>
          <w:szCs w:val="24"/>
        </w:rPr>
        <w:t>clear, practical overview</w:t>
      </w:r>
      <w:r w:rsidRPr="002C6CC7">
        <w:rPr>
          <w:rFonts w:ascii="Times New Roman" w:eastAsia="Times New Roman" w:hAnsi="Times New Roman" w:cs="Times New Roman"/>
          <w:sz w:val="24"/>
          <w:szCs w:val="24"/>
        </w:rPr>
        <w:t>, moving from concept → metrics → how you’d actually do it for southeastern U.S. trees.</w:t>
      </w:r>
    </w:p>
    <w:p w14:paraId="3EDF5658"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DC438E">
          <v:rect id="_x0000_i1032" style="width:0;height:1.5pt" o:hralign="center" o:hrstd="t" o:hr="t" fillcolor="#a0a0a0" stroked="f"/>
        </w:pict>
      </w:r>
    </w:p>
    <w:p w14:paraId="190039E0"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1️</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What you’re looking for: </w:t>
      </w:r>
      <w:r w:rsidRPr="002C6CC7">
        <w:rPr>
          <w:rFonts w:ascii="Times New Roman" w:eastAsia="Times New Roman" w:hAnsi="Times New Roman" w:cs="Times New Roman"/>
          <w:b/>
          <w:bCs/>
          <w:i/>
          <w:iCs/>
          <w:sz w:val="36"/>
          <w:szCs w:val="36"/>
        </w:rPr>
        <w:t>Phylogenetic Diversity (PD)</w:t>
      </w:r>
    </w:p>
    <w:p w14:paraId="38B8F9ED"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Instead of asking:</w:t>
      </w:r>
    </w:p>
    <w:p w14:paraId="2B58D1BD" w14:textId="77777777" w:rsidR="002C6CC7" w:rsidRPr="002C6CC7" w:rsidRDefault="002C6CC7" w:rsidP="002C6CC7">
      <w:pPr>
        <w:spacing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“How many species are present?”</w:t>
      </w:r>
    </w:p>
    <w:p w14:paraId="097314EF"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you ask:</w:t>
      </w:r>
    </w:p>
    <w:p w14:paraId="1EF6BD10" w14:textId="77777777" w:rsidR="002C6CC7" w:rsidRPr="002C6CC7" w:rsidRDefault="002C6CC7" w:rsidP="002C6CC7">
      <w:pPr>
        <w:spacing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“How much evolutionary history is represented?”</w:t>
      </w:r>
    </w:p>
    <w:p w14:paraId="7ABFD70A"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lastRenderedPageBreak/>
        <w:t xml:space="preserve">Two communities can have the same number of species but </w:t>
      </w:r>
      <w:r w:rsidRPr="002C6CC7">
        <w:rPr>
          <w:rFonts w:ascii="Times New Roman" w:eastAsia="Times New Roman" w:hAnsi="Times New Roman" w:cs="Times New Roman"/>
          <w:b/>
          <w:bCs/>
          <w:sz w:val="24"/>
          <w:szCs w:val="24"/>
        </w:rPr>
        <w:t>very different evolutionary breadth</w:t>
      </w:r>
      <w:r w:rsidRPr="002C6CC7">
        <w:rPr>
          <w:rFonts w:ascii="Times New Roman" w:eastAsia="Times New Roman" w:hAnsi="Times New Roman" w:cs="Times New Roman"/>
          <w:sz w:val="24"/>
          <w:szCs w:val="24"/>
        </w:rPr>
        <w:t>:</w:t>
      </w:r>
    </w:p>
    <w:p w14:paraId="2CA99EBC" w14:textId="77777777" w:rsidR="002C6CC7" w:rsidRPr="002C6CC7" w:rsidRDefault="002C6CC7" w:rsidP="002C6C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10 oak species → low evolutionary spread</w:t>
      </w:r>
    </w:p>
    <w:p w14:paraId="023B4EC5" w14:textId="77777777" w:rsidR="002C6CC7" w:rsidRPr="002C6CC7" w:rsidRDefault="002C6CC7" w:rsidP="002C6C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10 species across oaks, pines, magnolias, hickories, maples → high evolutionary spread</w:t>
      </w:r>
    </w:p>
    <w:p w14:paraId="38497F15"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186BFD">
          <v:rect id="_x0000_i1033" style="width:0;height:1.5pt" o:hralign="center" o:hrstd="t" o:hr="t" fillcolor="#a0a0a0" stroked="f"/>
        </w:pict>
      </w:r>
    </w:p>
    <w:p w14:paraId="769D2637"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2️</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Core Metrics Used to Measure Evolutionary Diversity</w:t>
      </w:r>
    </w:p>
    <w:p w14:paraId="05CFF7CE"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Segoe UI Emoji" w:eastAsia="Times New Roman" w:hAnsi="Segoe UI Emoji" w:cs="Segoe UI Emoji"/>
          <w:b/>
          <w:bCs/>
          <w:sz w:val="27"/>
          <w:szCs w:val="27"/>
        </w:rPr>
        <w:t>🔹</w:t>
      </w:r>
      <w:r w:rsidRPr="002C6CC7">
        <w:rPr>
          <w:rFonts w:ascii="Times New Roman" w:eastAsia="Times New Roman" w:hAnsi="Times New Roman" w:cs="Times New Roman"/>
          <w:b/>
          <w:bCs/>
          <w:sz w:val="27"/>
          <w:szCs w:val="27"/>
        </w:rPr>
        <w:t xml:space="preserve"> Faith’s Phylogenetic Diversity (PD)</w:t>
      </w:r>
    </w:p>
    <w:p w14:paraId="16625C00"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Segoe UI Emoji" w:eastAsia="Times New Roman" w:hAnsi="Segoe UI Emoji" w:cs="Segoe UI Emoji"/>
          <w:sz w:val="24"/>
          <w:szCs w:val="24"/>
        </w:rPr>
        <w:t>📏</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Total branch length of a phylogenetic tree connecting all species in an area</w:t>
      </w:r>
    </w:p>
    <w:p w14:paraId="56702E63" w14:textId="77777777" w:rsidR="002C6CC7" w:rsidRPr="002C6CC7" w:rsidRDefault="002C6CC7" w:rsidP="002C6C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Measures </w:t>
      </w:r>
      <w:r w:rsidRPr="002C6CC7">
        <w:rPr>
          <w:rFonts w:ascii="Times New Roman" w:eastAsia="Times New Roman" w:hAnsi="Times New Roman" w:cs="Times New Roman"/>
          <w:b/>
          <w:bCs/>
          <w:sz w:val="24"/>
          <w:szCs w:val="24"/>
        </w:rPr>
        <w:t>total evolutionary history</w:t>
      </w:r>
    </w:p>
    <w:p w14:paraId="28B06342" w14:textId="77777777" w:rsidR="002C6CC7" w:rsidRPr="002C6CC7" w:rsidRDefault="002C6CC7" w:rsidP="002C6C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Sensitive to ancient lineages (e.g., </w:t>
      </w:r>
      <w:r w:rsidRPr="002C6CC7">
        <w:rPr>
          <w:rFonts w:ascii="Times New Roman" w:eastAsia="Times New Roman" w:hAnsi="Times New Roman" w:cs="Times New Roman"/>
          <w:i/>
          <w:iCs/>
          <w:sz w:val="24"/>
          <w:szCs w:val="24"/>
        </w:rPr>
        <w:t>Ginkgo</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Magnolia</w:t>
      </w:r>
      <w:r w:rsidRPr="002C6CC7">
        <w:rPr>
          <w:rFonts w:ascii="Times New Roman" w:eastAsia="Times New Roman" w:hAnsi="Times New Roman" w:cs="Times New Roman"/>
          <w:sz w:val="24"/>
          <w:szCs w:val="24"/>
        </w:rPr>
        <w:t>)</w:t>
      </w:r>
    </w:p>
    <w:p w14:paraId="11DCA5E8" w14:textId="77777777" w:rsidR="002C6CC7" w:rsidRPr="002C6CC7" w:rsidRDefault="002C6CC7" w:rsidP="002C6C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Most widely used metric</w:t>
      </w:r>
    </w:p>
    <w:p w14:paraId="58D58155"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Segoe UI Emoji" w:eastAsia="Times New Roman" w:hAnsi="Segoe UI Emoji" w:cs="Segoe UI Emoji"/>
          <w:sz w:val="24"/>
          <w:szCs w:val="24"/>
        </w:rPr>
        <w:t>👉</w:t>
      </w:r>
      <w:r w:rsidRPr="002C6CC7">
        <w:rPr>
          <w:rFonts w:ascii="Times New Roman" w:eastAsia="Times New Roman" w:hAnsi="Times New Roman" w:cs="Times New Roman"/>
          <w:sz w:val="24"/>
          <w:szCs w:val="24"/>
        </w:rPr>
        <w:t xml:space="preserve"> Interpretation:</w:t>
      </w:r>
    </w:p>
    <w:p w14:paraId="11CF81BC" w14:textId="77777777" w:rsidR="002C6CC7" w:rsidRPr="002C6CC7" w:rsidRDefault="002C6CC7" w:rsidP="002C6CC7">
      <w:pPr>
        <w:spacing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Higher PD = more evolutionary history preserved</w:t>
      </w:r>
    </w:p>
    <w:p w14:paraId="60B0B354"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394BC">
          <v:rect id="_x0000_i1034" style="width:0;height:1.5pt" o:hralign="center" o:hrstd="t" o:hr="t" fillcolor="#a0a0a0" stroked="f"/>
        </w:pict>
      </w:r>
    </w:p>
    <w:p w14:paraId="75DC99E5"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Segoe UI Emoji" w:eastAsia="Times New Roman" w:hAnsi="Segoe UI Emoji" w:cs="Segoe UI Emoji"/>
          <w:b/>
          <w:bCs/>
          <w:sz w:val="27"/>
          <w:szCs w:val="27"/>
        </w:rPr>
        <w:t>🔹</w:t>
      </w:r>
      <w:r w:rsidRPr="002C6CC7">
        <w:rPr>
          <w:rFonts w:ascii="Times New Roman" w:eastAsia="Times New Roman" w:hAnsi="Times New Roman" w:cs="Times New Roman"/>
          <w:b/>
          <w:bCs/>
          <w:sz w:val="27"/>
          <w:szCs w:val="27"/>
        </w:rPr>
        <w:t xml:space="preserve"> Mean Pairwise Distance (MPD)</w:t>
      </w:r>
    </w:p>
    <w:p w14:paraId="2B08D41D"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Segoe UI Emoji" w:eastAsia="Times New Roman" w:hAnsi="Segoe UI Emoji" w:cs="Segoe UI Emoji"/>
          <w:sz w:val="24"/>
          <w:szCs w:val="24"/>
        </w:rPr>
        <w:t>📏</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Average evolutionary distance between all species pairs</w:t>
      </w:r>
    </w:p>
    <w:p w14:paraId="0CBE21FF" w14:textId="77777777" w:rsidR="002C6CC7" w:rsidRPr="002C6CC7" w:rsidRDefault="002C6CC7" w:rsidP="002C6C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Captures </w:t>
      </w:r>
      <w:r w:rsidRPr="002C6CC7">
        <w:rPr>
          <w:rFonts w:ascii="Times New Roman" w:eastAsia="Times New Roman" w:hAnsi="Times New Roman" w:cs="Times New Roman"/>
          <w:b/>
          <w:bCs/>
          <w:sz w:val="24"/>
          <w:szCs w:val="24"/>
        </w:rPr>
        <w:t>overall phylogenetic dispersion</w:t>
      </w:r>
    </w:p>
    <w:p w14:paraId="752AF5B8" w14:textId="77777777" w:rsidR="002C6CC7" w:rsidRPr="002C6CC7" w:rsidRDefault="002C6CC7" w:rsidP="002C6C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High MPD → species are evolutionarily distant</w:t>
      </w:r>
    </w:p>
    <w:p w14:paraId="0C219BFE"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9DE99C">
          <v:rect id="_x0000_i1035" style="width:0;height:1.5pt" o:hralign="center" o:hrstd="t" o:hr="t" fillcolor="#a0a0a0" stroked="f"/>
        </w:pict>
      </w:r>
    </w:p>
    <w:p w14:paraId="006A1467"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Segoe UI Emoji" w:eastAsia="Times New Roman" w:hAnsi="Segoe UI Emoji" w:cs="Segoe UI Emoji"/>
          <w:b/>
          <w:bCs/>
          <w:sz w:val="27"/>
          <w:szCs w:val="27"/>
        </w:rPr>
        <w:t>🔹</w:t>
      </w:r>
      <w:r w:rsidRPr="002C6CC7">
        <w:rPr>
          <w:rFonts w:ascii="Times New Roman" w:eastAsia="Times New Roman" w:hAnsi="Times New Roman" w:cs="Times New Roman"/>
          <w:b/>
          <w:bCs/>
          <w:sz w:val="27"/>
          <w:szCs w:val="27"/>
        </w:rPr>
        <w:t xml:space="preserve"> Mean Nearest Taxon Distance (MNTD)</w:t>
      </w:r>
    </w:p>
    <w:p w14:paraId="009D5E95"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Segoe UI Emoji" w:eastAsia="Times New Roman" w:hAnsi="Segoe UI Emoji" w:cs="Segoe UI Emoji"/>
          <w:sz w:val="24"/>
          <w:szCs w:val="24"/>
        </w:rPr>
        <w:t>📏</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Average distance to closest evolutionary relative</w:t>
      </w:r>
    </w:p>
    <w:p w14:paraId="30421F39" w14:textId="77777777" w:rsidR="002C6CC7" w:rsidRPr="002C6CC7" w:rsidRDefault="002C6CC7" w:rsidP="002C6C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Sensitive to </w:t>
      </w:r>
      <w:r w:rsidRPr="002C6CC7">
        <w:rPr>
          <w:rFonts w:ascii="Times New Roman" w:eastAsia="Times New Roman" w:hAnsi="Times New Roman" w:cs="Times New Roman"/>
          <w:b/>
          <w:bCs/>
          <w:sz w:val="24"/>
          <w:szCs w:val="24"/>
        </w:rPr>
        <w:t>recent diversification</w:t>
      </w:r>
    </w:p>
    <w:p w14:paraId="73B4894F" w14:textId="77777777" w:rsidR="002C6CC7" w:rsidRPr="002C6CC7" w:rsidRDefault="002C6CC7" w:rsidP="002C6C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Detects clustering of close relatives (e.g., many </w:t>
      </w:r>
      <w:r w:rsidRPr="002C6CC7">
        <w:rPr>
          <w:rFonts w:ascii="Times New Roman" w:eastAsia="Times New Roman" w:hAnsi="Times New Roman" w:cs="Times New Roman"/>
          <w:i/>
          <w:iCs/>
          <w:sz w:val="24"/>
          <w:szCs w:val="24"/>
        </w:rPr>
        <w:t>Quercus</w:t>
      </w:r>
      <w:r w:rsidRPr="002C6CC7">
        <w:rPr>
          <w:rFonts w:ascii="Times New Roman" w:eastAsia="Times New Roman" w:hAnsi="Times New Roman" w:cs="Times New Roman"/>
          <w:sz w:val="24"/>
          <w:szCs w:val="24"/>
        </w:rPr>
        <w:t>)</w:t>
      </w:r>
    </w:p>
    <w:p w14:paraId="700484B5"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17BC24">
          <v:rect id="_x0000_i1036" style="width:0;height:1.5pt" o:hralign="center" o:hrstd="t" o:hr="t" fillcolor="#a0a0a0" stroked="f"/>
        </w:pict>
      </w:r>
    </w:p>
    <w:p w14:paraId="786416A7"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Segoe UI Emoji" w:eastAsia="Times New Roman" w:hAnsi="Segoe UI Emoji" w:cs="Segoe UI Emoji"/>
          <w:b/>
          <w:bCs/>
          <w:sz w:val="27"/>
          <w:szCs w:val="27"/>
        </w:rPr>
        <w:t>🔹</w:t>
      </w:r>
      <w:r w:rsidRPr="002C6CC7">
        <w:rPr>
          <w:rFonts w:ascii="Times New Roman" w:eastAsia="Times New Roman" w:hAnsi="Times New Roman" w:cs="Times New Roman"/>
          <w:b/>
          <w:bCs/>
          <w:sz w:val="27"/>
          <w:szCs w:val="27"/>
        </w:rPr>
        <w:t xml:space="preserve"> Evolutionary Distinctiveness (ED)</w:t>
      </w:r>
    </w:p>
    <w:p w14:paraId="32C5EB19"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Segoe UI Emoji" w:eastAsia="Times New Roman" w:hAnsi="Segoe UI Emoji" w:cs="Segoe UI Emoji"/>
          <w:sz w:val="24"/>
          <w:szCs w:val="24"/>
        </w:rPr>
        <w:lastRenderedPageBreak/>
        <w:t>📏</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How evolutionarily unique each species is</w:t>
      </w:r>
    </w:p>
    <w:p w14:paraId="6DD8DD3E" w14:textId="77777777" w:rsidR="002C6CC7" w:rsidRPr="002C6CC7" w:rsidRDefault="002C6CC7" w:rsidP="002C6CC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Highlights “lonely branches” in the tree</w:t>
      </w:r>
    </w:p>
    <w:p w14:paraId="33AC9873" w14:textId="77777777" w:rsidR="002C6CC7" w:rsidRPr="002C6CC7" w:rsidRDefault="002C6CC7" w:rsidP="002C6CC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Often used for conservation prioritization</w:t>
      </w:r>
    </w:p>
    <w:p w14:paraId="7F61303E"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99B34E">
          <v:rect id="_x0000_i1037" style="width:0;height:1.5pt" o:hralign="center" o:hrstd="t" o:hr="t" fillcolor="#a0a0a0" stroked="f"/>
        </w:pict>
      </w:r>
    </w:p>
    <w:p w14:paraId="4E84AAC4"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Segoe UI Emoji" w:eastAsia="Times New Roman" w:hAnsi="Segoe UI Emoji" w:cs="Segoe UI Emoji"/>
          <w:b/>
          <w:bCs/>
          <w:sz w:val="27"/>
          <w:szCs w:val="27"/>
        </w:rPr>
        <w:t>🔹</w:t>
      </w:r>
      <w:r w:rsidRPr="002C6CC7">
        <w:rPr>
          <w:rFonts w:ascii="Times New Roman" w:eastAsia="Times New Roman" w:hAnsi="Times New Roman" w:cs="Times New Roman"/>
          <w:b/>
          <w:bCs/>
          <w:sz w:val="27"/>
          <w:szCs w:val="27"/>
        </w:rPr>
        <w:t xml:space="preserve"> Phylogenetic Species Variability (PSV)</w:t>
      </w:r>
    </w:p>
    <w:p w14:paraId="5297FEF0"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Segoe UI Emoji" w:eastAsia="Times New Roman" w:hAnsi="Segoe UI Emoji" w:cs="Segoe UI Emoji"/>
          <w:sz w:val="24"/>
          <w:szCs w:val="24"/>
        </w:rPr>
        <w:t>📏</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How independent species are evolutionarily</w:t>
      </w:r>
    </w:p>
    <w:p w14:paraId="2C1C1FF2" w14:textId="77777777" w:rsidR="002C6CC7" w:rsidRPr="002C6CC7" w:rsidRDefault="002C6CC7" w:rsidP="002C6C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Scaled 0–1</w:t>
      </w:r>
    </w:p>
    <w:p w14:paraId="4E0249D3" w14:textId="77777777" w:rsidR="002C6CC7" w:rsidRPr="002C6CC7" w:rsidRDefault="002C6CC7" w:rsidP="002C6C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Useful for comparing communities of different sizes</w:t>
      </w:r>
    </w:p>
    <w:p w14:paraId="48D7055C"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0857D">
          <v:rect id="_x0000_i1038" style="width:0;height:1.5pt" o:hralign="center" o:hrstd="t" o:hr="t" fillcolor="#a0a0a0" stroked="f"/>
        </w:pict>
      </w:r>
    </w:p>
    <w:p w14:paraId="7BF56EDD"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3️</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Why This Matters for Forests (Especially in the Southeast)</w:t>
      </w:r>
    </w:p>
    <w:p w14:paraId="11AB0954"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The southeastern U.S.:</w:t>
      </w:r>
    </w:p>
    <w:p w14:paraId="69918480" w14:textId="77777777" w:rsidR="002C6CC7" w:rsidRPr="002C6CC7" w:rsidRDefault="002C6CC7" w:rsidP="002C6C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Has </w:t>
      </w:r>
      <w:r w:rsidRPr="002C6CC7">
        <w:rPr>
          <w:rFonts w:ascii="Times New Roman" w:eastAsia="Times New Roman" w:hAnsi="Times New Roman" w:cs="Times New Roman"/>
          <w:b/>
          <w:bCs/>
          <w:sz w:val="24"/>
          <w:szCs w:val="24"/>
        </w:rPr>
        <w:t>high species richness</w:t>
      </w:r>
    </w:p>
    <w:p w14:paraId="0E950A0E" w14:textId="77777777" w:rsidR="002C6CC7" w:rsidRPr="002C6CC7" w:rsidRDefault="002C6CC7" w:rsidP="002C6C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But often </w:t>
      </w:r>
      <w:r w:rsidRPr="002C6CC7">
        <w:rPr>
          <w:rFonts w:ascii="Times New Roman" w:eastAsia="Times New Roman" w:hAnsi="Times New Roman" w:cs="Times New Roman"/>
          <w:b/>
          <w:bCs/>
          <w:sz w:val="24"/>
          <w:szCs w:val="24"/>
        </w:rPr>
        <w:t>strong phylogenetic clustering</w:t>
      </w:r>
      <w:r w:rsidRPr="002C6CC7">
        <w:rPr>
          <w:rFonts w:ascii="Times New Roman" w:eastAsia="Times New Roman" w:hAnsi="Times New Roman" w:cs="Times New Roman"/>
          <w:sz w:val="24"/>
          <w:szCs w:val="24"/>
        </w:rPr>
        <w:t xml:space="preserve"> (many oaks, hickories, ashes)</w:t>
      </w:r>
    </w:p>
    <w:p w14:paraId="06AF6F9D"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Two forests may look similar in richness but differ in:</w:t>
      </w:r>
    </w:p>
    <w:p w14:paraId="13599A2D" w14:textId="77777777" w:rsidR="002C6CC7" w:rsidRPr="002C6CC7" w:rsidRDefault="002C6CC7" w:rsidP="002C6C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Disease resistance</w:t>
      </w:r>
    </w:p>
    <w:p w14:paraId="6F7C7667" w14:textId="77777777" w:rsidR="002C6CC7" w:rsidRPr="002C6CC7" w:rsidRDefault="002C6CC7" w:rsidP="002C6C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Functional diversity</w:t>
      </w:r>
    </w:p>
    <w:p w14:paraId="14D74741" w14:textId="77777777" w:rsidR="002C6CC7" w:rsidRPr="002C6CC7" w:rsidRDefault="002C6CC7" w:rsidP="002C6C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Climate resilience</w:t>
      </w:r>
    </w:p>
    <w:p w14:paraId="21D54994"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Phylogenetic diversity often correlates with:</w:t>
      </w:r>
    </w:p>
    <w:p w14:paraId="0E7478C1" w14:textId="77777777" w:rsidR="002C6CC7" w:rsidRPr="002C6CC7" w:rsidRDefault="002C6CC7" w:rsidP="002C6C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Ecosystem stability</w:t>
      </w:r>
    </w:p>
    <w:p w14:paraId="25492A41" w14:textId="77777777" w:rsidR="002C6CC7" w:rsidRPr="002C6CC7" w:rsidRDefault="002C6CC7" w:rsidP="002C6C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Productivity</w:t>
      </w:r>
    </w:p>
    <w:p w14:paraId="02E6C48D" w14:textId="77777777" w:rsidR="002C6CC7" w:rsidRPr="002C6CC7" w:rsidRDefault="002C6CC7" w:rsidP="002C6C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Resistance to pests &amp; climate stress</w:t>
      </w:r>
    </w:p>
    <w:p w14:paraId="6A0F0CE4"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8DD131">
          <v:rect id="_x0000_i1039" style="width:0;height:1.5pt" o:hralign="center" o:hrstd="t" o:hr="t" fillcolor="#a0a0a0" stroked="f"/>
        </w:pict>
      </w:r>
    </w:p>
    <w:p w14:paraId="5E6E8575"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4️</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How You Would Measure This in Practice</w:t>
      </w:r>
    </w:p>
    <w:p w14:paraId="5102C94C"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Times New Roman" w:eastAsia="Times New Roman" w:hAnsi="Times New Roman" w:cs="Times New Roman"/>
          <w:b/>
          <w:bCs/>
          <w:sz w:val="27"/>
          <w:szCs w:val="27"/>
        </w:rPr>
        <w:t>Step 1: Get a species list for your area</w:t>
      </w:r>
    </w:p>
    <w:p w14:paraId="72F142BF"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You already have this </w:t>
      </w:r>
      <w:r w:rsidRPr="002C6CC7">
        <w:rPr>
          <w:rFonts w:ascii="Segoe UI Emoji" w:eastAsia="Times New Roman" w:hAnsi="Segoe UI Emoji" w:cs="Segoe UI Emoji"/>
          <w:sz w:val="24"/>
          <w:szCs w:val="24"/>
        </w:rPr>
        <w:t>✔️</w:t>
      </w:r>
    </w:p>
    <w:p w14:paraId="2C9A86EF"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9F3B42">
          <v:rect id="_x0000_i1040" style="width:0;height:1.5pt" o:hralign="center" o:hrstd="t" o:hr="t" fillcolor="#a0a0a0" stroked="f"/>
        </w:pict>
      </w:r>
    </w:p>
    <w:p w14:paraId="3F3747E1"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Times New Roman" w:eastAsia="Times New Roman" w:hAnsi="Times New Roman" w:cs="Times New Roman"/>
          <w:b/>
          <w:bCs/>
          <w:sz w:val="27"/>
          <w:szCs w:val="27"/>
        </w:rPr>
        <w:lastRenderedPageBreak/>
        <w:t>Step 2: Obtain or build a phylogenetic tree</w:t>
      </w:r>
    </w:p>
    <w:p w14:paraId="46CD6066"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Options:</w:t>
      </w:r>
    </w:p>
    <w:p w14:paraId="4FF804D7" w14:textId="77777777" w:rsidR="002C6CC7" w:rsidRPr="002C6CC7" w:rsidRDefault="002C6CC7" w:rsidP="002C6C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Open Tree of Life</w:t>
      </w:r>
    </w:p>
    <w:p w14:paraId="78DE997F" w14:textId="77777777" w:rsidR="002C6CC7" w:rsidRPr="002C6CC7" w:rsidRDefault="002C6CC7" w:rsidP="002C6CC7">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2C6CC7">
        <w:rPr>
          <w:rFonts w:ascii="Times New Roman" w:eastAsia="Times New Roman" w:hAnsi="Times New Roman" w:cs="Times New Roman"/>
          <w:b/>
          <w:bCs/>
          <w:sz w:val="24"/>
          <w:szCs w:val="24"/>
        </w:rPr>
        <w:t>V.PhyloMaker</w:t>
      </w:r>
      <w:proofErr w:type="spellEnd"/>
      <w:r w:rsidRPr="002C6CC7">
        <w:rPr>
          <w:rFonts w:ascii="Times New Roman" w:eastAsia="Times New Roman" w:hAnsi="Times New Roman" w:cs="Times New Roman"/>
          <w:sz w:val="24"/>
          <w:szCs w:val="24"/>
        </w:rPr>
        <w:t xml:space="preserve"> (plants, R package)</w:t>
      </w:r>
    </w:p>
    <w:p w14:paraId="0EB3A4D6" w14:textId="77777777" w:rsidR="002C6CC7" w:rsidRPr="002C6CC7" w:rsidRDefault="002C6CC7" w:rsidP="002C6CC7">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2C6CC7">
        <w:rPr>
          <w:rFonts w:ascii="Times New Roman" w:eastAsia="Times New Roman" w:hAnsi="Times New Roman" w:cs="Times New Roman"/>
          <w:b/>
          <w:bCs/>
          <w:sz w:val="24"/>
          <w:szCs w:val="24"/>
        </w:rPr>
        <w:t>Phylomatic</w:t>
      </w:r>
      <w:proofErr w:type="spellEnd"/>
      <w:r w:rsidRPr="002C6CC7">
        <w:rPr>
          <w:rFonts w:ascii="Times New Roman" w:eastAsia="Times New Roman" w:hAnsi="Times New Roman" w:cs="Times New Roman"/>
          <w:sz w:val="24"/>
          <w:szCs w:val="24"/>
        </w:rPr>
        <w:t xml:space="preserve"> (older but still used)</w:t>
      </w:r>
    </w:p>
    <w:p w14:paraId="1CC7576C"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These create </w:t>
      </w:r>
      <w:r w:rsidRPr="002C6CC7">
        <w:rPr>
          <w:rFonts w:ascii="Times New Roman" w:eastAsia="Times New Roman" w:hAnsi="Times New Roman" w:cs="Times New Roman"/>
          <w:b/>
          <w:bCs/>
          <w:sz w:val="24"/>
          <w:szCs w:val="24"/>
        </w:rPr>
        <w:t>time-calibrated trees</w:t>
      </w:r>
      <w:r w:rsidRPr="002C6CC7">
        <w:rPr>
          <w:rFonts w:ascii="Times New Roman" w:eastAsia="Times New Roman" w:hAnsi="Times New Roman" w:cs="Times New Roman"/>
          <w:sz w:val="24"/>
          <w:szCs w:val="24"/>
        </w:rPr>
        <w:t xml:space="preserve"> for plant species.</w:t>
      </w:r>
    </w:p>
    <w:p w14:paraId="26718E1F"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B159EC">
          <v:rect id="_x0000_i1041" style="width:0;height:1.5pt" o:hralign="center" o:hrstd="t" o:hr="t" fillcolor="#a0a0a0" stroked="f"/>
        </w:pict>
      </w:r>
    </w:p>
    <w:p w14:paraId="6D660477" w14:textId="77777777" w:rsidR="002C6CC7" w:rsidRPr="002C6CC7" w:rsidRDefault="002C6CC7" w:rsidP="002C6CC7">
      <w:pPr>
        <w:spacing w:before="100" w:beforeAutospacing="1" w:after="100" w:afterAutospacing="1" w:line="240" w:lineRule="auto"/>
        <w:outlineLvl w:val="2"/>
        <w:rPr>
          <w:rFonts w:ascii="Times New Roman" w:eastAsia="Times New Roman" w:hAnsi="Times New Roman" w:cs="Times New Roman"/>
          <w:b/>
          <w:bCs/>
          <w:sz w:val="27"/>
          <w:szCs w:val="27"/>
        </w:rPr>
      </w:pPr>
      <w:r w:rsidRPr="002C6CC7">
        <w:rPr>
          <w:rFonts w:ascii="Times New Roman" w:eastAsia="Times New Roman" w:hAnsi="Times New Roman" w:cs="Times New Roman"/>
          <w:b/>
          <w:bCs/>
          <w:sz w:val="27"/>
          <w:szCs w:val="27"/>
        </w:rPr>
        <w:t>Step 3: Calculate metrics (R example)</w:t>
      </w:r>
    </w:p>
    <w:p w14:paraId="7DC634D3" w14:textId="77777777" w:rsidR="002C6CC7" w:rsidRPr="002C6CC7" w:rsidRDefault="002C6CC7" w:rsidP="002C6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6CC7">
        <w:rPr>
          <w:rFonts w:ascii="Courier New" w:eastAsia="Times New Roman" w:hAnsi="Courier New" w:cs="Courier New"/>
          <w:sz w:val="20"/>
          <w:szCs w:val="20"/>
        </w:rPr>
        <w:t>library(picante)</w:t>
      </w:r>
    </w:p>
    <w:p w14:paraId="37E57C90" w14:textId="77777777" w:rsidR="002C6CC7" w:rsidRPr="002C6CC7" w:rsidRDefault="002C6CC7" w:rsidP="002C6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E8682A" w14:textId="77777777" w:rsidR="002C6CC7" w:rsidRPr="002C6CC7" w:rsidRDefault="002C6CC7" w:rsidP="002C6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C6CC7">
        <w:rPr>
          <w:rFonts w:ascii="Courier New" w:eastAsia="Times New Roman" w:hAnsi="Courier New" w:cs="Courier New"/>
          <w:sz w:val="20"/>
          <w:szCs w:val="20"/>
        </w:rPr>
        <w:t>pd(</w:t>
      </w:r>
      <w:proofErr w:type="gramEnd"/>
      <w:r w:rsidRPr="002C6CC7">
        <w:rPr>
          <w:rFonts w:ascii="Courier New" w:eastAsia="Times New Roman" w:hAnsi="Courier New" w:cs="Courier New"/>
          <w:sz w:val="20"/>
          <w:szCs w:val="20"/>
        </w:rPr>
        <w:t xml:space="preserve">comm, </w:t>
      </w:r>
      <w:proofErr w:type="spellStart"/>
      <w:r w:rsidRPr="002C6CC7">
        <w:rPr>
          <w:rFonts w:ascii="Courier New" w:eastAsia="Times New Roman" w:hAnsi="Courier New" w:cs="Courier New"/>
          <w:sz w:val="20"/>
          <w:szCs w:val="20"/>
        </w:rPr>
        <w:t>phy</w:t>
      </w:r>
      <w:proofErr w:type="spellEnd"/>
      <w:r w:rsidRPr="002C6CC7">
        <w:rPr>
          <w:rFonts w:ascii="Courier New" w:eastAsia="Times New Roman" w:hAnsi="Courier New" w:cs="Courier New"/>
          <w:sz w:val="20"/>
          <w:szCs w:val="20"/>
        </w:rPr>
        <w:t>)      # Faith’s PD</w:t>
      </w:r>
    </w:p>
    <w:p w14:paraId="63F11AE0" w14:textId="77777777" w:rsidR="002C6CC7" w:rsidRPr="002C6CC7" w:rsidRDefault="002C6CC7" w:rsidP="002C6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C6CC7">
        <w:rPr>
          <w:rFonts w:ascii="Courier New" w:eastAsia="Times New Roman" w:hAnsi="Courier New" w:cs="Courier New"/>
          <w:sz w:val="20"/>
          <w:szCs w:val="20"/>
        </w:rPr>
        <w:t>mpd</w:t>
      </w:r>
      <w:proofErr w:type="spellEnd"/>
      <w:r w:rsidRPr="002C6CC7">
        <w:rPr>
          <w:rFonts w:ascii="Courier New" w:eastAsia="Times New Roman" w:hAnsi="Courier New" w:cs="Courier New"/>
          <w:sz w:val="20"/>
          <w:szCs w:val="20"/>
        </w:rPr>
        <w:t>(</w:t>
      </w:r>
      <w:proofErr w:type="gramEnd"/>
      <w:r w:rsidRPr="002C6CC7">
        <w:rPr>
          <w:rFonts w:ascii="Courier New" w:eastAsia="Times New Roman" w:hAnsi="Courier New" w:cs="Courier New"/>
          <w:sz w:val="20"/>
          <w:szCs w:val="20"/>
        </w:rPr>
        <w:t>comm, cophenetic(</w:t>
      </w:r>
      <w:proofErr w:type="spellStart"/>
      <w:r w:rsidRPr="002C6CC7">
        <w:rPr>
          <w:rFonts w:ascii="Courier New" w:eastAsia="Times New Roman" w:hAnsi="Courier New" w:cs="Courier New"/>
          <w:sz w:val="20"/>
          <w:szCs w:val="20"/>
        </w:rPr>
        <w:t>phy</w:t>
      </w:r>
      <w:proofErr w:type="spellEnd"/>
      <w:r w:rsidRPr="002C6CC7">
        <w:rPr>
          <w:rFonts w:ascii="Courier New" w:eastAsia="Times New Roman" w:hAnsi="Courier New" w:cs="Courier New"/>
          <w:sz w:val="20"/>
          <w:szCs w:val="20"/>
        </w:rPr>
        <w:t>))</w:t>
      </w:r>
    </w:p>
    <w:p w14:paraId="33A0FAE3" w14:textId="77777777" w:rsidR="002C6CC7" w:rsidRPr="002C6CC7" w:rsidRDefault="002C6CC7" w:rsidP="002C6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C6CC7">
        <w:rPr>
          <w:rFonts w:ascii="Courier New" w:eastAsia="Times New Roman" w:hAnsi="Courier New" w:cs="Courier New"/>
          <w:sz w:val="20"/>
          <w:szCs w:val="20"/>
        </w:rPr>
        <w:t>mntd</w:t>
      </w:r>
      <w:proofErr w:type="spellEnd"/>
      <w:r w:rsidRPr="002C6CC7">
        <w:rPr>
          <w:rFonts w:ascii="Courier New" w:eastAsia="Times New Roman" w:hAnsi="Courier New" w:cs="Courier New"/>
          <w:sz w:val="20"/>
          <w:szCs w:val="20"/>
        </w:rPr>
        <w:t>(</w:t>
      </w:r>
      <w:proofErr w:type="gramEnd"/>
      <w:r w:rsidRPr="002C6CC7">
        <w:rPr>
          <w:rFonts w:ascii="Courier New" w:eastAsia="Times New Roman" w:hAnsi="Courier New" w:cs="Courier New"/>
          <w:sz w:val="20"/>
          <w:szCs w:val="20"/>
        </w:rPr>
        <w:t>comm, cophenetic(</w:t>
      </w:r>
      <w:proofErr w:type="spellStart"/>
      <w:r w:rsidRPr="002C6CC7">
        <w:rPr>
          <w:rFonts w:ascii="Courier New" w:eastAsia="Times New Roman" w:hAnsi="Courier New" w:cs="Courier New"/>
          <w:sz w:val="20"/>
          <w:szCs w:val="20"/>
        </w:rPr>
        <w:t>phy</w:t>
      </w:r>
      <w:proofErr w:type="spellEnd"/>
      <w:r w:rsidRPr="002C6CC7">
        <w:rPr>
          <w:rFonts w:ascii="Courier New" w:eastAsia="Times New Roman" w:hAnsi="Courier New" w:cs="Courier New"/>
          <w:sz w:val="20"/>
          <w:szCs w:val="20"/>
        </w:rPr>
        <w:t>))</w:t>
      </w:r>
    </w:p>
    <w:p w14:paraId="41C5A571"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Where:</w:t>
      </w:r>
    </w:p>
    <w:p w14:paraId="5668A4C2" w14:textId="77777777" w:rsidR="002C6CC7" w:rsidRPr="002C6CC7" w:rsidRDefault="002C6CC7" w:rsidP="002C6C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6CC7">
        <w:rPr>
          <w:rFonts w:ascii="Courier New" w:eastAsia="Times New Roman" w:hAnsi="Courier New" w:cs="Courier New"/>
          <w:sz w:val="20"/>
          <w:szCs w:val="20"/>
        </w:rPr>
        <w:t>comm</w:t>
      </w:r>
      <w:r w:rsidRPr="002C6CC7">
        <w:rPr>
          <w:rFonts w:ascii="Times New Roman" w:eastAsia="Times New Roman" w:hAnsi="Times New Roman" w:cs="Times New Roman"/>
          <w:sz w:val="24"/>
          <w:szCs w:val="24"/>
        </w:rPr>
        <w:t xml:space="preserve"> = site × species presence/abundance matrix</w:t>
      </w:r>
    </w:p>
    <w:p w14:paraId="078595F9" w14:textId="77777777" w:rsidR="002C6CC7" w:rsidRPr="002C6CC7" w:rsidRDefault="002C6CC7" w:rsidP="002C6CC7">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2C6CC7">
        <w:rPr>
          <w:rFonts w:ascii="Courier New" w:eastAsia="Times New Roman" w:hAnsi="Courier New" w:cs="Courier New"/>
          <w:sz w:val="20"/>
          <w:szCs w:val="20"/>
        </w:rPr>
        <w:t>phy</w:t>
      </w:r>
      <w:proofErr w:type="spellEnd"/>
      <w:r w:rsidRPr="002C6CC7">
        <w:rPr>
          <w:rFonts w:ascii="Times New Roman" w:eastAsia="Times New Roman" w:hAnsi="Times New Roman" w:cs="Times New Roman"/>
          <w:sz w:val="24"/>
          <w:szCs w:val="24"/>
        </w:rPr>
        <w:t xml:space="preserve"> = phylogenetic tree</w:t>
      </w:r>
    </w:p>
    <w:p w14:paraId="2AD72FB9"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D391D1">
          <v:rect id="_x0000_i1042" style="width:0;height:1.5pt" o:hralign="center" o:hrstd="t" o:hr="t" fillcolor="#a0a0a0" stroked="f"/>
        </w:pict>
      </w:r>
    </w:p>
    <w:p w14:paraId="1C4EA3E0"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5️</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Going Beyond Presence/Absence</w:t>
      </w:r>
    </w:p>
    <w:p w14:paraId="0FF18FC9"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You can weight evolutionary diversity by:</w:t>
      </w:r>
    </w:p>
    <w:p w14:paraId="4125C977" w14:textId="77777777" w:rsidR="002C6CC7" w:rsidRPr="002C6CC7" w:rsidRDefault="002C6CC7" w:rsidP="002C6C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Abundance</w:t>
      </w:r>
      <w:r w:rsidRPr="002C6CC7">
        <w:rPr>
          <w:rFonts w:ascii="Times New Roman" w:eastAsia="Times New Roman" w:hAnsi="Times New Roman" w:cs="Times New Roman"/>
          <w:sz w:val="24"/>
          <w:szCs w:val="24"/>
        </w:rPr>
        <w:t xml:space="preserve"> (dominant trees matter more)</w:t>
      </w:r>
    </w:p>
    <w:p w14:paraId="61AEC3F4" w14:textId="77777777" w:rsidR="002C6CC7" w:rsidRPr="002C6CC7" w:rsidRDefault="002C6CC7" w:rsidP="002C6C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Basal area</w:t>
      </w:r>
    </w:p>
    <w:p w14:paraId="08A04CCC" w14:textId="77777777" w:rsidR="002C6CC7" w:rsidRPr="002C6CC7" w:rsidRDefault="002C6CC7" w:rsidP="002C6C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Carbon storage</w:t>
      </w:r>
    </w:p>
    <w:p w14:paraId="08AEE9D5" w14:textId="77777777" w:rsidR="002C6CC7" w:rsidRPr="002C6CC7" w:rsidRDefault="002C6CC7" w:rsidP="002C6C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b/>
          <w:bCs/>
          <w:sz w:val="24"/>
          <w:szCs w:val="24"/>
        </w:rPr>
        <w:t>Functional traits</w:t>
      </w:r>
    </w:p>
    <w:p w14:paraId="394D3AF0"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This gives </w:t>
      </w:r>
      <w:r w:rsidRPr="002C6CC7">
        <w:rPr>
          <w:rFonts w:ascii="Times New Roman" w:eastAsia="Times New Roman" w:hAnsi="Times New Roman" w:cs="Times New Roman"/>
          <w:b/>
          <w:bCs/>
          <w:sz w:val="24"/>
          <w:szCs w:val="24"/>
        </w:rPr>
        <w:t>abundance-weighted PD</w:t>
      </w:r>
      <w:r w:rsidRPr="002C6CC7">
        <w:rPr>
          <w:rFonts w:ascii="Times New Roman" w:eastAsia="Times New Roman" w:hAnsi="Times New Roman" w:cs="Times New Roman"/>
          <w:sz w:val="24"/>
          <w:szCs w:val="24"/>
        </w:rPr>
        <w:t>, which is especially powerful for forests.</w:t>
      </w:r>
    </w:p>
    <w:p w14:paraId="62DAE99E"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8DEC05">
          <v:rect id="_x0000_i1043" style="width:0;height:1.5pt" o:hralign="center" o:hrstd="t" o:hr="t" fillcolor="#a0a0a0" stroked="f"/>
        </w:pict>
      </w:r>
    </w:p>
    <w:p w14:paraId="034149D7"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6️</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Interpretation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4187"/>
      </w:tblGrid>
      <w:tr w:rsidR="002C6CC7" w:rsidRPr="002C6CC7" w14:paraId="3A0997F6" w14:textId="77777777" w:rsidTr="002C6CC7">
        <w:trPr>
          <w:tblHeader/>
          <w:tblCellSpacing w:w="15" w:type="dxa"/>
        </w:trPr>
        <w:tc>
          <w:tcPr>
            <w:tcW w:w="0" w:type="auto"/>
            <w:vAlign w:val="center"/>
            <w:hideMark/>
          </w:tcPr>
          <w:p w14:paraId="7ABA5EBF" w14:textId="77777777" w:rsidR="002C6CC7" w:rsidRPr="002C6CC7" w:rsidRDefault="002C6CC7" w:rsidP="002C6CC7">
            <w:pPr>
              <w:spacing w:after="0" w:line="240" w:lineRule="auto"/>
              <w:jc w:val="center"/>
              <w:rPr>
                <w:rFonts w:ascii="Times New Roman" w:eastAsia="Times New Roman" w:hAnsi="Times New Roman" w:cs="Times New Roman"/>
                <w:b/>
                <w:bCs/>
                <w:sz w:val="24"/>
                <w:szCs w:val="24"/>
              </w:rPr>
            </w:pPr>
            <w:r w:rsidRPr="002C6CC7">
              <w:rPr>
                <w:rFonts w:ascii="Times New Roman" w:eastAsia="Times New Roman" w:hAnsi="Times New Roman" w:cs="Times New Roman"/>
                <w:b/>
                <w:bCs/>
                <w:sz w:val="24"/>
                <w:szCs w:val="24"/>
              </w:rPr>
              <w:t>Pattern</w:t>
            </w:r>
          </w:p>
        </w:tc>
        <w:tc>
          <w:tcPr>
            <w:tcW w:w="0" w:type="auto"/>
            <w:vAlign w:val="center"/>
            <w:hideMark/>
          </w:tcPr>
          <w:p w14:paraId="5AD1B495" w14:textId="77777777" w:rsidR="002C6CC7" w:rsidRPr="002C6CC7" w:rsidRDefault="002C6CC7" w:rsidP="002C6CC7">
            <w:pPr>
              <w:spacing w:after="0" w:line="240" w:lineRule="auto"/>
              <w:jc w:val="center"/>
              <w:rPr>
                <w:rFonts w:ascii="Times New Roman" w:eastAsia="Times New Roman" w:hAnsi="Times New Roman" w:cs="Times New Roman"/>
                <w:b/>
                <w:bCs/>
                <w:sz w:val="24"/>
                <w:szCs w:val="24"/>
              </w:rPr>
            </w:pPr>
            <w:r w:rsidRPr="002C6CC7">
              <w:rPr>
                <w:rFonts w:ascii="Times New Roman" w:eastAsia="Times New Roman" w:hAnsi="Times New Roman" w:cs="Times New Roman"/>
                <w:b/>
                <w:bCs/>
                <w:sz w:val="24"/>
                <w:szCs w:val="24"/>
              </w:rPr>
              <w:t>Meaning</w:t>
            </w:r>
          </w:p>
        </w:tc>
      </w:tr>
      <w:tr w:rsidR="002C6CC7" w:rsidRPr="002C6CC7" w14:paraId="69A7E5AA" w14:textId="77777777" w:rsidTr="002C6CC7">
        <w:trPr>
          <w:tblCellSpacing w:w="15" w:type="dxa"/>
        </w:trPr>
        <w:tc>
          <w:tcPr>
            <w:tcW w:w="0" w:type="auto"/>
            <w:vAlign w:val="center"/>
            <w:hideMark/>
          </w:tcPr>
          <w:p w14:paraId="1D179E6C"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High PD, high richness</w:t>
            </w:r>
          </w:p>
        </w:tc>
        <w:tc>
          <w:tcPr>
            <w:tcW w:w="0" w:type="auto"/>
            <w:vAlign w:val="center"/>
            <w:hideMark/>
          </w:tcPr>
          <w:p w14:paraId="2E2557D9"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Evolutionarily diverse forest</w:t>
            </w:r>
          </w:p>
        </w:tc>
      </w:tr>
      <w:tr w:rsidR="002C6CC7" w:rsidRPr="002C6CC7" w14:paraId="09AFD5D3" w14:textId="77777777" w:rsidTr="002C6CC7">
        <w:trPr>
          <w:tblCellSpacing w:w="15" w:type="dxa"/>
        </w:trPr>
        <w:tc>
          <w:tcPr>
            <w:tcW w:w="0" w:type="auto"/>
            <w:vAlign w:val="center"/>
            <w:hideMark/>
          </w:tcPr>
          <w:p w14:paraId="69228FAF"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Low PD, high richness</w:t>
            </w:r>
          </w:p>
        </w:tc>
        <w:tc>
          <w:tcPr>
            <w:tcW w:w="0" w:type="auto"/>
            <w:vAlign w:val="center"/>
            <w:hideMark/>
          </w:tcPr>
          <w:p w14:paraId="6DEF201C"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Many close relatives (e.g., oak-dominated)</w:t>
            </w:r>
          </w:p>
        </w:tc>
      </w:tr>
      <w:tr w:rsidR="002C6CC7" w:rsidRPr="002C6CC7" w14:paraId="4E142AB1" w14:textId="77777777" w:rsidTr="002C6CC7">
        <w:trPr>
          <w:tblCellSpacing w:w="15" w:type="dxa"/>
        </w:trPr>
        <w:tc>
          <w:tcPr>
            <w:tcW w:w="0" w:type="auto"/>
            <w:vAlign w:val="center"/>
            <w:hideMark/>
          </w:tcPr>
          <w:p w14:paraId="39AAB8AC"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lastRenderedPageBreak/>
              <w:t>High MPD, low richness</w:t>
            </w:r>
          </w:p>
        </w:tc>
        <w:tc>
          <w:tcPr>
            <w:tcW w:w="0" w:type="auto"/>
            <w:vAlign w:val="center"/>
            <w:hideMark/>
          </w:tcPr>
          <w:p w14:paraId="657B8117"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Few but very distinct lineages</w:t>
            </w:r>
          </w:p>
        </w:tc>
      </w:tr>
      <w:tr w:rsidR="002C6CC7" w:rsidRPr="002C6CC7" w14:paraId="2AED5DB5" w14:textId="77777777" w:rsidTr="002C6CC7">
        <w:trPr>
          <w:tblCellSpacing w:w="15" w:type="dxa"/>
        </w:trPr>
        <w:tc>
          <w:tcPr>
            <w:tcW w:w="0" w:type="auto"/>
            <w:vAlign w:val="center"/>
            <w:hideMark/>
          </w:tcPr>
          <w:p w14:paraId="76B6B23F"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Low MNTD</w:t>
            </w:r>
          </w:p>
        </w:tc>
        <w:tc>
          <w:tcPr>
            <w:tcW w:w="0" w:type="auto"/>
            <w:vAlign w:val="center"/>
            <w:hideMark/>
          </w:tcPr>
          <w:p w14:paraId="59E114F2" w14:textId="77777777" w:rsidR="002C6CC7" w:rsidRPr="002C6CC7" w:rsidRDefault="002C6CC7" w:rsidP="002C6CC7">
            <w:pPr>
              <w:spacing w:after="0"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Recent diversification / clustering</w:t>
            </w:r>
          </w:p>
        </w:tc>
      </w:tr>
    </w:tbl>
    <w:p w14:paraId="6F30C1C4"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A467A3">
          <v:rect id="_x0000_i1044" style="width:0;height:1.5pt" o:hralign="center" o:hrstd="t" o:hr="t" fillcolor="#a0a0a0" stroked="f"/>
        </w:pict>
      </w:r>
    </w:p>
    <w:p w14:paraId="3C867450" w14:textId="77777777" w:rsidR="002C6CC7" w:rsidRPr="002C6CC7" w:rsidRDefault="002C6CC7" w:rsidP="002C6CC7">
      <w:pPr>
        <w:spacing w:before="100" w:beforeAutospacing="1" w:after="100" w:afterAutospacing="1" w:line="240" w:lineRule="auto"/>
        <w:outlineLvl w:val="1"/>
        <w:rPr>
          <w:rFonts w:ascii="Times New Roman" w:eastAsia="Times New Roman" w:hAnsi="Times New Roman" w:cs="Times New Roman"/>
          <w:b/>
          <w:bCs/>
          <w:sz w:val="36"/>
          <w:szCs w:val="36"/>
        </w:rPr>
      </w:pPr>
      <w:r w:rsidRPr="002C6CC7">
        <w:rPr>
          <w:rFonts w:ascii="Times New Roman" w:eastAsia="Times New Roman" w:hAnsi="Times New Roman" w:cs="Times New Roman"/>
          <w:b/>
          <w:bCs/>
          <w:sz w:val="36"/>
          <w:szCs w:val="36"/>
        </w:rPr>
        <w:t>7️</w:t>
      </w:r>
      <w:r w:rsidRPr="002C6CC7">
        <w:rPr>
          <w:rFonts w:ascii="Tahoma" w:eastAsia="Times New Roman" w:hAnsi="Tahoma" w:cs="Tahoma"/>
          <w:b/>
          <w:bCs/>
          <w:sz w:val="36"/>
          <w:szCs w:val="36"/>
        </w:rPr>
        <w:t>⃣</w:t>
      </w:r>
      <w:r w:rsidRPr="002C6CC7">
        <w:rPr>
          <w:rFonts w:ascii="Times New Roman" w:eastAsia="Times New Roman" w:hAnsi="Times New Roman" w:cs="Times New Roman"/>
          <w:b/>
          <w:bCs/>
          <w:sz w:val="36"/>
          <w:szCs w:val="36"/>
        </w:rPr>
        <w:t xml:space="preserve"> Conservation &amp; Management Uses</w:t>
      </w:r>
    </w:p>
    <w:p w14:paraId="0D290180"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Phylogenetic diversity is used to:</w:t>
      </w:r>
    </w:p>
    <w:p w14:paraId="792B3635" w14:textId="77777777" w:rsidR="002C6CC7" w:rsidRPr="002C6CC7" w:rsidRDefault="002C6CC7" w:rsidP="002C6C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Prioritize conservation areas</w:t>
      </w:r>
    </w:p>
    <w:p w14:paraId="09CB7DA0" w14:textId="77777777" w:rsidR="002C6CC7" w:rsidRPr="002C6CC7" w:rsidRDefault="002C6CC7" w:rsidP="002C6C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Identify climate-resilient forests</w:t>
      </w:r>
    </w:p>
    <w:p w14:paraId="5E9F2C07" w14:textId="77777777" w:rsidR="002C6CC7" w:rsidRPr="002C6CC7" w:rsidRDefault="002C6CC7" w:rsidP="002C6C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Guide restoration plantings</w:t>
      </w:r>
    </w:p>
    <w:p w14:paraId="1B68FEA2" w14:textId="77777777" w:rsidR="002C6CC7" w:rsidRPr="002C6CC7" w:rsidRDefault="002C6CC7" w:rsidP="002C6C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Assess invasive species impacts</w:t>
      </w:r>
    </w:p>
    <w:p w14:paraId="25FD4A85" w14:textId="77777777" w:rsidR="002C6CC7" w:rsidRPr="002C6CC7" w:rsidRDefault="002C6CC7" w:rsidP="002C6CC7">
      <w:pPr>
        <w:spacing w:before="100"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Example:</w:t>
      </w:r>
    </w:p>
    <w:p w14:paraId="0120969A" w14:textId="77777777" w:rsidR="002C6CC7" w:rsidRPr="002C6CC7" w:rsidRDefault="002C6CC7" w:rsidP="002C6CC7">
      <w:pPr>
        <w:spacing w:beforeAutospacing="1" w:after="100" w:afterAutospacing="1" w:line="240" w:lineRule="auto"/>
        <w:rPr>
          <w:rFonts w:ascii="Times New Roman" w:eastAsia="Times New Roman" w:hAnsi="Times New Roman" w:cs="Times New Roman"/>
          <w:sz w:val="24"/>
          <w:szCs w:val="24"/>
        </w:rPr>
      </w:pPr>
      <w:r w:rsidRPr="002C6CC7">
        <w:rPr>
          <w:rFonts w:ascii="Times New Roman" w:eastAsia="Times New Roman" w:hAnsi="Times New Roman" w:cs="Times New Roman"/>
          <w:sz w:val="24"/>
          <w:szCs w:val="24"/>
        </w:rPr>
        <w:t xml:space="preserve">Losing </w:t>
      </w:r>
      <w:r w:rsidRPr="002C6CC7">
        <w:rPr>
          <w:rFonts w:ascii="Times New Roman" w:eastAsia="Times New Roman" w:hAnsi="Times New Roman" w:cs="Times New Roman"/>
          <w:i/>
          <w:iCs/>
          <w:sz w:val="24"/>
          <w:szCs w:val="24"/>
        </w:rPr>
        <w:t>Magnolia</w:t>
      </w:r>
      <w:r w:rsidRPr="002C6CC7">
        <w:rPr>
          <w:rFonts w:ascii="Times New Roman" w:eastAsia="Times New Roman" w:hAnsi="Times New Roman" w:cs="Times New Roman"/>
          <w:sz w:val="24"/>
          <w:szCs w:val="24"/>
        </w:rPr>
        <w:t xml:space="preserve">, </w:t>
      </w:r>
      <w:r w:rsidRPr="002C6CC7">
        <w:rPr>
          <w:rFonts w:ascii="Times New Roman" w:eastAsia="Times New Roman" w:hAnsi="Times New Roman" w:cs="Times New Roman"/>
          <w:i/>
          <w:iCs/>
          <w:sz w:val="24"/>
          <w:szCs w:val="24"/>
        </w:rPr>
        <w:t>Liriodendron</w:t>
      </w:r>
      <w:r w:rsidRPr="002C6CC7">
        <w:rPr>
          <w:rFonts w:ascii="Times New Roman" w:eastAsia="Times New Roman" w:hAnsi="Times New Roman" w:cs="Times New Roman"/>
          <w:sz w:val="24"/>
          <w:szCs w:val="24"/>
        </w:rPr>
        <w:t xml:space="preserve">, or </w:t>
      </w:r>
      <w:r w:rsidRPr="002C6CC7">
        <w:rPr>
          <w:rFonts w:ascii="Times New Roman" w:eastAsia="Times New Roman" w:hAnsi="Times New Roman" w:cs="Times New Roman"/>
          <w:i/>
          <w:iCs/>
          <w:sz w:val="24"/>
          <w:szCs w:val="24"/>
        </w:rPr>
        <w:t>Taxodium</w:t>
      </w:r>
      <w:r w:rsidRPr="002C6CC7">
        <w:rPr>
          <w:rFonts w:ascii="Times New Roman" w:eastAsia="Times New Roman" w:hAnsi="Times New Roman" w:cs="Times New Roman"/>
          <w:sz w:val="24"/>
          <w:szCs w:val="24"/>
        </w:rPr>
        <w:t xml:space="preserve"> reduces PD far more than losing one oak species.</w:t>
      </w:r>
    </w:p>
    <w:p w14:paraId="5A3E53F5" w14:textId="77777777" w:rsidR="002C6CC7" w:rsidRPr="002C6CC7" w:rsidRDefault="00464C5D" w:rsidP="002C6C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28C0A9">
          <v:rect id="_x0000_i1045" style="width:0;height:1.5pt" o:hralign="center" o:hrstd="t" o:hr="t" fillcolor="#a0a0a0" stroked="f"/>
        </w:pict>
      </w:r>
    </w:p>
    <w:p w14:paraId="716F07A6"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 xml:space="preserve">Here are </w:t>
      </w:r>
      <w:r w:rsidRPr="00DC4C12">
        <w:rPr>
          <w:rFonts w:ascii="Times New Roman" w:eastAsia="Times New Roman" w:hAnsi="Times New Roman" w:cs="Times New Roman"/>
          <w:b/>
          <w:bCs/>
          <w:sz w:val="24"/>
          <w:szCs w:val="24"/>
        </w:rPr>
        <w:t>notable, reputable papers and reviews</w:t>
      </w:r>
      <w:r w:rsidRPr="00DC4C12">
        <w:rPr>
          <w:rFonts w:ascii="Times New Roman" w:eastAsia="Times New Roman" w:hAnsi="Times New Roman" w:cs="Times New Roman"/>
          <w:sz w:val="24"/>
          <w:szCs w:val="24"/>
        </w:rPr>
        <w:t xml:space="preserve"> that discuss methods using PCA-based or related spectral variability approaches to relate spectral data to plant or forest diversity (including species, taxonomic, functional, or phylogenetic diversity), with concise summaries of each:</w:t>
      </w:r>
    </w:p>
    <w:p w14:paraId="4B857087"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237D23">
          <v:rect id="_x0000_i1046" style="width:0;height:1.5pt" o:hralign="center" o:hrstd="t" o:hr="t" fillcolor="#a0a0a0" stroked="f"/>
        </w:pict>
      </w:r>
    </w:p>
    <w:p w14:paraId="593AC362"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t>1) “Forest Biodiversity Monitoring Based on Remotely Sensed Spectral Diversity — A Review” (</w:t>
      </w:r>
      <w:proofErr w:type="spellStart"/>
      <w:r w:rsidRPr="00DC4C12">
        <w:rPr>
          <w:rFonts w:ascii="Times New Roman" w:eastAsia="Times New Roman" w:hAnsi="Times New Roman" w:cs="Times New Roman"/>
          <w:b/>
          <w:bCs/>
          <w:sz w:val="27"/>
          <w:szCs w:val="27"/>
        </w:rPr>
        <w:t>Kacic</w:t>
      </w:r>
      <w:proofErr w:type="spellEnd"/>
      <w:r w:rsidRPr="00DC4C12">
        <w:rPr>
          <w:rFonts w:ascii="Times New Roman" w:eastAsia="Times New Roman" w:hAnsi="Times New Roman" w:cs="Times New Roman"/>
          <w:b/>
          <w:bCs/>
          <w:sz w:val="27"/>
          <w:szCs w:val="27"/>
        </w:rPr>
        <w:t xml:space="preserve"> &amp; </w:t>
      </w:r>
      <w:proofErr w:type="spellStart"/>
      <w:r w:rsidRPr="00DC4C12">
        <w:rPr>
          <w:rFonts w:ascii="Times New Roman" w:eastAsia="Times New Roman" w:hAnsi="Times New Roman" w:cs="Times New Roman"/>
          <w:b/>
          <w:bCs/>
          <w:sz w:val="27"/>
          <w:szCs w:val="27"/>
        </w:rPr>
        <w:t>Kuenzer</w:t>
      </w:r>
      <w:proofErr w:type="spellEnd"/>
      <w:r w:rsidRPr="00DC4C12">
        <w:rPr>
          <w:rFonts w:ascii="Times New Roman" w:eastAsia="Times New Roman" w:hAnsi="Times New Roman" w:cs="Times New Roman"/>
          <w:b/>
          <w:bCs/>
          <w:sz w:val="27"/>
          <w:szCs w:val="27"/>
        </w:rPr>
        <w:t>, 2022)</w:t>
      </w:r>
    </w:p>
    <w:p w14:paraId="3E66665C"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Review of spectral diversity methods in forests</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t xml:space="preserve">This review synthesizes research on forest biodiversity estimation using </w:t>
      </w:r>
      <w:r w:rsidRPr="00DC4C12">
        <w:rPr>
          <w:rFonts w:ascii="Times New Roman" w:eastAsia="Times New Roman" w:hAnsi="Times New Roman" w:cs="Times New Roman"/>
          <w:b/>
          <w:bCs/>
          <w:sz w:val="24"/>
          <w:szCs w:val="24"/>
        </w:rPr>
        <w:t>spectral diversity</w:t>
      </w:r>
      <w:r w:rsidRPr="00DC4C12">
        <w:rPr>
          <w:rFonts w:ascii="Times New Roman" w:eastAsia="Times New Roman" w:hAnsi="Times New Roman" w:cs="Times New Roman"/>
          <w:sz w:val="24"/>
          <w:szCs w:val="24"/>
        </w:rPr>
        <w:t xml:space="preserve"> concepts derived from remote sensing, including PCA-based and other ordination methods. It categorizes approaches into three main concepts: (1) </w:t>
      </w:r>
      <w:r w:rsidRPr="00DC4C12">
        <w:rPr>
          <w:rFonts w:ascii="Times New Roman" w:eastAsia="Times New Roman" w:hAnsi="Times New Roman" w:cs="Times New Roman"/>
          <w:i/>
          <w:iCs/>
          <w:sz w:val="24"/>
          <w:szCs w:val="24"/>
        </w:rPr>
        <w:t>vegetation indices</w:t>
      </w:r>
      <w:r w:rsidRPr="00DC4C12">
        <w:rPr>
          <w:rFonts w:ascii="Times New Roman" w:eastAsia="Times New Roman" w:hAnsi="Times New Roman" w:cs="Times New Roman"/>
          <w:sz w:val="24"/>
          <w:szCs w:val="24"/>
        </w:rPr>
        <w:t xml:space="preserve"> (e.g., NDVI variation), (2) </w:t>
      </w:r>
      <w:r w:rsidRPr="00DC4C12">
        <w:rPr>
          <w:rFonts w:ascii="Times New Roman" w:eastAsia="Times New Roman" w:hAnsi="Times New Roman" w:cs="Times New Roman"/>
          <w:i/>
          <w:iCs/>
          <w:sz w:val="24"/>
          <w:szCs w:val="24"/>
        </w:rPr>
        <w:t>spectral information content</w:t>
      </w:r>
      <w:r w:rsidRPr="00DC4C12">
        <w:rPr>
          <w:rFonts w:ascii="Times New Roman" w:eastAsia="Times New Roman" w:hAnsi="Times New Roman" w:cs="Times New Roman"/>
          <w:sz w:val="24"/>
          <w:szCs w:val="24"/>
        </w:rPr>
        <w:t xml:space="preserve"> (including PCA or other ordination of spectral bands), and (3) </w:t>
      </w:r>
      <w:r w:rsidRPr="00DC4C12">
        <w:rPr>
          <w:rFonts w:ascii="Times New Roman" w:eastAsia="Times New Roman" w:hAnsi="Times New Roman" w:cs="Times New Roman"/>
          <w:i/>
          <w:iCs/>
          <w:sz w:val="24"/>
          <w:szCs w:val="24"/>
        </w:rPr>
        <w:t>spectral species</w:t>
      </w:r>
      <w:r w:rsidRPr="00DC4C12">
        <w:rPr>
          <w:rFonts w:ascii="Times New Roman" w:eastAsia="Times New Roman" w:hAnsi="Times New Roman" w:cs="Times New Roman"/>
          <w:sz w:val="24"/>
          <w:szCs w:val="24"/>
        </w:rPr>
        <w:t xml:space="preserve"> (unsupervised clustering of spectral space). PCA and similar techniques are used under the spectral information content category to reduce dimensionality and compute distance/dispersion metrics that can be linked statistically to field diversity measures such as Shannon or Rao’s Q. It highlights that most studies using higher-dimensional spectral data rely on PCA or similar decompositions to summarize spectral heterogeneity before comparing to biodiversity metrics. (</w:t>
      </w:r>
      <w:hyperlink r:id="rId8" w:tooltip="Forest Biodiversity Monitoring Based on Remotely Sensed ..." w:history="1">
        <w:r w:rsidRPr="00DC4C12">
          <w:rPr>
            <w:rFonts w:ascii="Times New Roman" w:eastAsia="Times New Roman" w:hAnsi="Times New Roman" w:cs="Times New Roman"/>
            <w:color w:val="0000FF"/>
            <w:sz w:val="24"/>
            <w:szCs w:val="24"/>
            <w:u w:val="single"/>
          </w:rPr>
          <w:t>MDPI</w:t>
        </w:r>
      </w:hyperlink>
      <w:r w:rsidRPr="00DC4C12">
        <w:rPr>
          <w:rFonts w:ascii="Times New Roman" w:eastAsia="Times New Roman" w:hAnsi="Times New Roman" w:cs="Times New Roman"/>
          <w:sz w:val="24"/>
          <w:szCs w:val="24"/>
        </w:rPr>
        <w:t>)</w:t>
      </w:r>
    </w:p>
    <w:p w14:paraId="7971B681"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8463F5">
          <v:rect id="_x0000_i1047" style="width:0;height:1.5pt" o:hralign="center" o:hrstd="t" o:hr="t" fillcolor="#a0a0a0" stroked="f"/>
        </w:pict>
      </w:r>
    </w:p>
    <w:p w14:paraId="1A735FF6"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lastRenderedPageBreak/>
        <w:t>2) “Linking aerial hyperspectral data to canopy tree biodiversity: An examination of the spectral variation hypothesis” (Wallis et al., 2024)</w:t>
      </w:r>
    </w:p>
    <w:p w14:paraId="573525D3"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Empirical study testing spectral–biodiversity relationships</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t xml:space="preserve">This study tests the </w:t>
      </w:r>
      <w:r w:rsidRPr="00DC4C12">
        <w:rPr>
          <w:rFonts w:ascii="Times New Roman" w:eastAsia="Times New Roman" w:hAnsi="Times New Roman" w:cs="Times New Roman"/>
          <w:i/>
          <w:iCs/>
          <w:sz w:val="24"/>
          <w:szCs w:val="24"/>
        </w:rPr>
        <w:t>Spectral Variation Hypothesis</w:t>
      </w:r>
      <w:r w:rsidRPr="00DC4C12">
        <w:rPr>
          <w:rFonts w:ascii="Times New Roman" w:eastAsia="Times New Roman" w:hAnsi="Times New Roman" w:cs="Times New Roman"/>
          <w:sz w:val="24"/>
          <w:szCs w:val="24"/>
        </w:rPr>
        <w:t xml:space="preserve"> (SVH) using aerial hyperspectral imagery to quantify spectral diversity and compares it to taxonomic, functional, and phylogenetic diversity of canopy trees. Spectral diversity is derived from multivariate spectral data (often via ordination such as PCA) and then correlated with diversity metrics. It finds variable strength of association across metrics and notes stronger links between spectral and functional diversity than with phylogenetic diversity, illustrating both potential and limitations in using PCA-based spectral heterogeneity for biodiversity prediction. (</w:t>
      </w:r>
      <w:hyperlink r:id="rId9" w:tooltip="Linking aerial hyperspectral data to canopy tree biodiversity: An examination of the spectral variation hypothesis | Christine Wallis - Remote sensing of biodiversity" w:history="1">
        <w:r w:rsidRPr="00DC4C12">
          <w:rPr>
            <w:rFonts w:ascii="Times New Roman" w:eastAsia="Times New Roman" w:hAnsi="Times New Roman" w:cs="Times New Roman"/>
            <w:color w:val="0000FF"/>
            <w:sz w:val="24"/>
            <w:szCs w:val="24"/>
            <w:u w:val="single"/>
          </w:rPr>
          <w:t>christinewallis.com</w:t>
        </w:r>
      </w:hyperlink>
      <w:r w:rsidRPr="00DC4C12">
        <w:rPr>
          <w:rFonts w:ascii="Times New Roman" w:eastAsia="Times New Roman" w:hAnsi="Times New Roman" w:cs="Times New Roman"/>
          <w:sz w:val="24"/>
          <w:szCs w:val="24"/>
        </w:rPr>
        <w:t>)</w:t>
      </w:r>
    </w:p>
    <w:p w14:paraId="2CF8F81B"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FB94D7">
          <v:rect id="_x0000_i1048" style="width:0;height:1.5pt" o:hralign="center" o:hrstd="t" o:hr="t" fillcolor="#a0a0a0" stroked="f"/>
        </w:pict>
      </w:r>
    </w:p>
    <w:p w14:paraId="6652DF3A"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t xml:space="preserve">3) Ecological studies on the </w:t>
      </w:r>
      <w:r w:rsidRPr="00DC4C12">
        <w:rPr>
          <w:rFonts w:ascii="Times New Roman" w:eastAsia="Times New Roman" w:hAnsi="Times New Roman" w:cs="Times New Roman"/>
          <w:b/>
          <w:bCs/>
          <w:i/>
          <w:iCs/>
          <w:sz w:val="27"/>
          <w:szCs w:val="27"/>
        </w:rPr>
        <w:t>Spectral Variation Hypothesis</w:t>
      </w:r>
    </w:p>
    <w:p w14:paraId="144A8F7C"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Multiple empirical works including Palmer et al. (2002) and others</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Foundational theory and empirical tests</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t xml:space="preserve">The </w:t>
      </w:r>
      <w:r w:rsidRPr="00DC4C12">
        <w:rPr>
          <w:rFonts w:ascii="Times New Roman" w:eastAsia="Times New Roman" w:hAnsi="Times New Roman" w:cs="Times New Roman"/>
          <w:i/>
          <w:iCs/>
          <w:sz w:val="24"/>
          <w:szCs w:val="24"/>
        </w:rPr>
        <w:t>Spectral Variation Hypothesis</w:t>
      </w:r>
      <w:r w:rsidRPr="00DC4C12">
        <w:rPr>
          <w:rFonts w:ascii="Times New Roman" w:eastAsia="Times New Roman" w:hAnsi="Times New Roman" w:cs="Times New Roman"/>
          <w:sz w:val="24"/>
          <w:szCs w:val="24"/>
        </w:rPr>
        <w:t xml:space="preserve"> proposes that greater spatial variability in reflectance should correlate with greater species richness or diversity. Many applications compute spectral dispersion metrics — sometimes via PCA or coefficient of variation across spectral bands — and then regress or correlate these with in situ diversity measures. This body of work forms the theoretical basis for PCA-based spectral variability studies that attempt to predict biodiversity from hyperspectral data. (</w:t>
      </w:r>
      <w:hyperlink r:id="rId10" w:tooltip="Spectral variability hypothesis" w:history="1">
        <w:r w:rsidRPr="00DC4C12">
          <w:rPr>
            <w:rFonts w:ascii="Times New Roman" w:eastAsia="Times New Roman" w:hAnsi="Times New Roman" w:cs="Times New Roman"/>
            <w:color w:val="0000FF"/>
            <w:sz w:val="24"/>
            <w:szCs w:val="24"/>
            <w:u w:val="single"/>
          </w:rPr>
          <w:t>Wikipedia</w:t>
        </w:r>
      </w:hyperlink>
      <w:r w:rsidRPr="00DC4C12">
        <w:rPr>
          <w:rFonts w:ascii="Times New Roman" w:eastAsia="Times New Roman" w:hAnsi="Times New Roman" w:cs="Times New Roman"/>
          <w:sz w:val="24"/>
          <w:szCs w:val="24"/>
        </w:rPr>
        <w:t>)</w:t>
      </w:r>
    </w:p>
    <w:p w14:paraId="0B6F529B"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89F4BE">
          <v:rect id="_x0000_i1049" style="width:0;height:1.5pt" o:hralign="center" o:hrstd="t" o:hr="t" fillcolor="#a0a0a0" stroked="f"/>
        </w:pict>
      </w:r>
    </w:p>
    <w:p w14:paraId="48C0AD85"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t>4) “The Spectral Species Concept in Living Color” (</w:t>
      </w:r>
      <w:proofErr w:type="spellStart"/>
      <w:r w:rsidRPr="00DC4C12">
        <w:rPr>
          <w:rFonts w:ascii="Times New Roman" w:eastAsia="Times New Roman" w:hAnsi="Times New Roman" w:cs="Times New Roman"/>
          <w:b/>
          <w:bCs/>
          <w:sz w:val="27"/>
          <w:szCs w:val="27"/>
        </w:rPr>
        <w:t>Rocchini</w:t>
      </w:r>
      <w:proofErr w:type="spellEnd"/>
      <w:r w:rsidRPr="00DC4C12">
        <w:rPr>
          <w:rFonts w:ascii="Times New Roman" w:eastAsia="Times New Roman" w:hAnsi="Times New Roman" w:cs="Times New Roman"/>
          <w:b/>
          <w:bCs/>
          <w:sz w:val="27"/>
          <w:szCs w:val="27"/>
        </w:rPr>
        <w:t xml:space="preserve"> et al., 2022)</w:t>
      </w:r>
    </w:p>
    <w:p w14:paraId="22CD9D69"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Review/conceptual article</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t xml:space="preserve">Reviews the </w:t>
      </w:r>
      <w:r w:rsidRPr="00DC4C12">
        <w:rPr>
          <w:rFonts w:ascii="Times New Roman" w:eastAsia="Times New Roman" w:hAnsi="Times New Roman" w:cs="Times New Roman"/>
          <w:i/>
          <w:iCs/>
          <w:sz w:val="24"/>
          <w:szCs w:val="24"/>
        </w:rPr>
        <w:t>spectral species</w:t>
      </w:r>
      <w:r w:rsidRPr="00DC4C12">
        <w:rPr>
          <w:rFonts w:ascii="Times New Roman" w:eastAsia="Times New Roman" w:hAnsi="Times New Roman" w:cs="Times New Roman"/>
          <w:sz w:val="24"/>
          <w:szCs w:val="24"/>
        </w:rPr>
        <w:t xml:space="preserve"> approach which first applies PCA (or other ordination) to reduce the hyperspectral data, then uses clustering (e.g., k-means) in the reduced space to define discrete “spectral species.” These spectral classes can then be processed to calculate diversity indices analogous to taxonomic α and β diversity. PCA here is integral because it reduces dimensionality while retaining the main variation structure that informs the spectral species clustering. (</w:t>
      </w:r>
      <w:hyperlink r:id="rId11" w:tooltip="The Spectral Species Concept in Living Color - PMC" w:history="1">
        <w:r w:rsidRPr="00DC4C12">
          <w:rPr>
            <w:rFonts w:ascii="Times New Roman" w:eastAsia="Times New Roman" w:hAnsi="Times New Roman" w:cs="Times New Roman"/>
            <w:color w:val="0000FF"/>
            <w:sz w:val="24"/>
            <w:szCs w:val="24"/>
            <w:u w:val="single"/>
          </w:rPr>
          <w:t>PMC</w:t>
        </w:r>
      </w:hyperlink>
      <w:r w:rsidRPr="00DC4C12">
        <w:rPr>
          <w:rFonts w:ascii="Times New Roman" w:eastAsia="Times New Roman" w:hAnsi="Times New Roman" w:cs="Times New Roman"/>
          <w:sz w:val="24"/>
          <w:szCs w:val="24"/>
        </w:rPr>
        <w:t>)</w:t>
      </w:r>
    </w:p>
    <w:p w14:paraId="451C93AB"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7EE16E">
          <v:rect id="_x0000_i1050" style="width:0;height:1.5pt" o:hralign="center" o:hrstd="t" o:hr="t" fillcolor="#a0a0a0" stroked="f"/>
        </w:pict>
      </w:r>
    </w:p>
    <w:p w14:paraId="7459EEBE"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t>5) “Plant spectral diversity integrates functional and phylogenetic components of biodiversity and predicts ecosystem function” (</w:t>
      </w:r>
      <w:proofErr w:type="spellStart"/>
      <w:r w:rsidRPr="00DC4C12">
        <w:rPr>
          <w:rFonts w:ascii="Times New Roman" w:eastAsia="Times New Roman" w:hAnsi="Times New Roman" w:cs="Times New Roman"/>
          <w:b/>
          <w:bCs/>
          <w:sz w:val="27"/>
          <w:szCs w:val="27"/>
        </w:rPr>
        <w:t>Fargione</w:t>
      </w:r>
      <w:proofErr w:type="spellEnd"/>
      <w:r w:rsidRPr="00DC4C12">
        <w:rPr>
          <w:rFonts w:ascii="Times New Roman" w:eastAsia="Times New Roman" w:hAnsi="Times New Roman" w:cs="Times New Roman"/>
          <w:b/>
          <w:bCs/>
          <w:sz w:val="27"/>
          <w:szCs w:val="27"/>
        </w:rPr>
        <w:t xml:space="preserve"> et al., 2018)</w:t>
      </w:r>
    </w:p>
    <w:p w14:paraId="3928F73E"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Experimental field study</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sz w:val="24"/>
          <w:szCs w:val="24"/>
        </w:rPr>
        <w:lastRenderedPageBreak/>
        <w:t xml:space="preserve">Shows that spectral diversity metrics (often based on spectral dissimilarity measures that can incorporate PCA) are correlated with taxonomic, functional, and phylogenetic diversity in grassland plots. This work demonstrates that spectral variation </w:t>
      </w:r>
      <w:r w:rsidRPr="00DC4C12">
        <w:rPr>
          <w:rFonts w:ascii="Times New Roman" w:eastAsia="Times New Roman" w:hAnsi="Times New Roman" w:cs="Times New Roman"/>
          <w:i/>
          <w:iCs/>
          <w:sz w:val="24"/>
          <w:szCs w:val="24"/>
        </w:rPr>
        <w:t>can</w:t>
      </w:r>
      <w:r w:rsidRPr="00DC4C12">
        <w:rPr>
          <w:rFonts w:ascii="Times New Roman" w:eastAsia="Times New Roman" w:hAnsi="Times New Roman" w:cs="Times New Roman"/>
          <w:sz w:val="24"/>
          <w:szCs w:val="24"/>
        </w:rPr>
        <w:t xml:space="preserve"> integrate multiple biodiversity components, with spectral dispersion explaining substantial variation in productivity similarly to traditional biodiversity indices. Although this is not forest specific, it provides strong ecological grounding for PCA-based spectral diversity as a proxy for multiple biodiversity dimensions. (</w:t>
      </w:r>
      <w:hyperlink r:id="rId12" w:tooltip="Plant spectral diversity integrates functional and phylogenetic components of biodiversity and predicts ecosystem function - PubMed" w:history="1">
        <w:r w:rsidRPr="00DC4C12">
          <w:rPr>
            <w:rFonts w:ascii="Times New Roman" w:eastAsia="Times New Roman" w:hAnsi="Times New Roman" w:cs="Times New Roman"/>
            <w:color w:val="0000FF"/>
            <w:sz w:val="24"/>
            <w:szCs w:val="24"/>
            <w:u w:val="single"/>
          </w:rPr>
          <w:t>PubMed</w:t>
        </w:r>
      </w:hyperlink>
      <w:r w:rsidRPr="00DC4C12">
        <w:rPr>
          <w:rFonts w:ascii="Times New Roman" w:eastAsia="Times New Roman" w:hAnsi="Times New Roman" w:cs="Times New Roman"/>
          <w:sz w:val="24"/>
          <w:szCs w:val="24"/>
        </w:rPr>
        <w:t>)</w:t>
      </w:r>
    </w:p>
    <w:p w14:paraId="73A1E80D"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9B32F3">
          <v:rect id="_x0000_i1051" style="width:0;height:1.5pt" o:hralign="center" o:hrstd="t" o:hr="t" fillcolor="#a0a0a0" stroked="f"/>
        </w:pict>
      </w:r>
    </w:p>
    <w:p w14:paraId="25503575"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t>6) “Evidence of spectral–species richness correlations at fine spatial resolution” (Pinon et al., 2024)</w:t>
      </w:r>
    </w:p>
    <w:p w14:paraId="111F915D"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Remote sensing application</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t>Uses RPA/hyperspectral data and evaluates different dispersion metrics (e.g., standard deviation, coefficient of variation) for correlations with species richness and diversity. While not explicitly PCA-based, this work is part of the broader literature that evaluates multivariate spectral variability (often PCA summaries or derived metrics) in relation to diversity, and it shows that certain spectral regions and metrics explain a large amount of variance in species diversity. (</w:t>
      </w:r>
      <w:hyperlink r:id="rId13" w:tooltip="Biodiversity from the Sky: Testing the Spectral Variation ..." w:history="1">
        <w:r w:rsidRPr="00DC4C12">
          <w:rPr>
            <w:rFonts w:ascii="Times New Roman" w:eastAsia="Times New Roman" w:hAnsi="Times New Roman" w:cs="Times New Roman"/>
            <w:color w:val="0000FF"/>
            <w:sz w:val="24"/>
            <w:szCs w:val="24"/>
            <w:u w:val="single"/>
          </w:rPr>
          <w:t>MDPI</w:t>
        </w:r>
      </w:hyperlink>
      <w:r w:rsidRPr="00DC4C12">
        <w:rPr>
          <w:rFonts w:ascii="Times New Roman" w:eastAsia="Times New Roman" w:hAnsi="Times New Roman" w:cs="Times New Roman"/>
          <w:sz w:val="24"/>
          <w:szCs w:val="24"/>
        </w:rPr>
        <w:t>)</w:t>
      </w:r>
    </w:p>
    <w:p w14:paraId="031857AF"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E3CA9">
          <v:rect id="_x0000_i1052" style="width:0;height:1.5pt" o:hralign="center" o:hrstd="t" o:hr="t" fillcolor="#a0a0a0" stroked="f"/>
        </w:pict>
      </w:r>
    </w:p>
    <w:p w14:paraId="57E87F35" w14:textId="77777777" w:rsidR="00DC4C12" w:rsidRPr="00DC4C12" w:rsidRDefault="00DC4C12" w:rsidP="00DC4C12">
      <w:pPr>
        <w:spacing w:before="100" w:beforeAutospacing="1" w:after="100" w:afterAutospacing="1" w:line="240" w:lineRule="auto"/>
        <w:outlineLvl w:val="2"/>
        <w:rPr>
          <w:rFonts w:ascii="Times New Roman" w:eastAsia="Times New Roman" w:hAnsi="Times New Roman" w:cs="Times New Roman"/>
          <w:b/>
          <w:bCs/>
          <w:sz w:val="27"/>
          <w:szCs w:val="27"/>
        </w:rPr>
      </w:pPr>
      <w:r w:rsidRPr="00DC4C12">
        <w:rPr>
          <w:rFonts w:ascii="Times New Roman" w:eastAsia="Times New Roman" w:hAnsi="Times New Roman" w:cs="Times New Roman"/>
          <w:b/>
          <w:bCs/>
          <w:sz w:val="27"/>
          <w:szCs w:val="27"/>
        </w:rPr>
        <w:t>7) “Correlating species and spectral diversities using hyperspectral remote sensing” (</w:t>
      </w:r>
      <w:proofErr w:type="spellStart"/>
      <w:r w:rsidRPr="00DC4C12">
        <w:rPr>
          <w:rFonts w:ascii="Times New Roman" w:eastAsia="Times New Roman" w:hAnsi="Times New Roman" w:cs="Times New Roman"/>
          <w:b/>
          <w:bCs/>
          <w:sz w:val="27"/>
          <w:szCs w:val="27"/>
        </w:rPr>
        <w:t>Aneece</w:t>
      </w:r>
      <w:proofErr w:type="spellEnd"/>
      <w:r w:rsidRPr="00DC4C12">
        <w:rPr>
          <w:rFonts w:ascii="Times New Roman" w:eastAsia="Times New Roman" w:hAnsi="Times New Roman" w:cs="Times New Roman"/>
          <w:b/>
          <w:bCs/>
          <w:sz w:val="27"/>
          <w:szCs w:val="27"/>
        </w:rPr>
        <w:t xml:space="preserve"> et al., 2017)</w:t>
      </w:r>
    </w:p>
    <w:p w14:paraId="0D64FBA9"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Type:</w:t>
      </w:r>
      <w:r w:rsidRPr="00DC4C12">
        <w:rPr>
          <w:rFonts w:ascii="Times New Roman" w:eastAsia="Times New Roman" w:hAnsi="Times New Roman" w:cs="Times New Roman"/>
          <w:sz w:val="24"/>
          <w:szCs w:val="24"/>
        </w:rPr>
        <w:t xml:space="preserve"> Empirical assessment in early successional fields</w:t>
      </w:r>
      <w:r w:rsidRPr="00DC4C12">
        <w:rPr>
          <w:rFonts w:ascii="Times New Roman" w:eastAsia="Times New Roman" w:hAnsi="Times New Roman" w:cs="Times New Roman"/>
          <w:sz w:val="24"/>
          <w:szCs w:val="24"/>
        </w:rPr>
        <w:br/>
      </w:r>
      <w:r w:rsidRPr="00DC4C12">
        <w:rPr>
          <w:rFonts w:ascii="Times New Roman" w:eastAsia="Times New Roman" w:hAnsi="Times New Roman" w:cs="Times New Roman"/>
          <w:b/>
          <w:bCs/>
          <w:sz w:val="24"/>
          <w:szCs w:val="24"/>
        </w:rPr>
        <w:t>Summary:</w:t>
      </w:r>
      <w:r w:rsidRPr="00DC4C12">
        <w:rPr>
          <w:rFonts w:ascii="Times New Roman" w:eastAsia="Times New Roman" w:hAnsi="Times New Roman" w:cs="Times New Roman"/>
          <w:sz w:val="24"/>
          <w:szCs w:val="24"/>
        </w:rPr>
        <w:br/>
        <w:t>Assesses spectral diversity against species diversity using spectral metrics (e.g., band SD or transformations). Such studies provide empirical evidence on the relationships between multivariate spectral variation (often summarized with ordination or dimensionality reduction like PCA) and conventional biodiversity indices across plots. (</w:t>
      </w:r>
      <w:hyperlink r:id="rId14" w:tooltip="Correlating species and spectral diversities using ... - PMC" w:history="1">
        <w:r w:rsidRPr="00DC4C12">
          <w:rPr>
            <w:rFonts w:ascii="Times New Roman" w:eastAsia="Times New Roman" w:hAnsi="Times New Roman" w:cs="Times New Roman"/>
            <w:color w:val="0000FF"/>
            <w:sz w:val="24"/>
            <w:szCs w:val="24"/>
            <w:u w:val="single"/>
          </w:rPr>
          <w:t>PMC</w:t>
        </w:r>
      </w:hyperlink>
      <w:r w:rsidRPr="00DC4C12">
        <w:rPr>
          <w:rFonts w:ascii="Times New Roman" w:eastAsia="Times New Roman" w:hAnsi="Times New Roman" w:cs="Times New Roman"/>
          <w:sz w:val="24"/>
          <w:szCs w:val="24"/>
        </w:rPr>
        <w:t>)</w:t>
      </w:r>
    </w:p>
    <w:p w14:paraId="76173FFC"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A1BED">
          <v:rect id="_x0000_i1053" style="width:0;height:1.5pt" o:hralign="center" o:hrstd="t" o:hr="t" fillcolor="#a0a0a0" stroked="f"/>
        </w:pict>
      </w:r>
    </w:p>
    <w:p w14:paraId="74FE8C39" w14:textId="77777777" w:rsidR="00DC4C12" w:rsidRPr="00DC4C12" w:rsidRDefault="00DC4C12" w:rsidP="00DC4C12">
      <w:pPr>
        <w:spacing w:before="100" w:beforeAutospacing="1" w:after="100" w:afterAutospacing="1" w:line="240" w:lineRule="auto"/>
        <w:outlineLvl w:val="1"/>
        <w:rPr>
          <w:rFonts w:ascii="Times New Roman" w:eastAsia="Times New Roman" w:hAnsi="Times New Roman" w:cs="Times New Roman"/>
          <w:b/>
          <w:bCs/>
          <w:sz w:val="36"/>
          <w:szCs w:val="36"/>
        </w:rPr>
      </w:pPr>
      <w:r w:rsidRPr="00DC4C12">
        <w:rPr>
          <w:rFonts w:ascii="Times New Roman" w:eastAsia="Times New Roman" w:hAnsi="Times New Roman" w:cs="Times New Roman"/>
          <w:b/>
          <w:bCs/>
          <w:sz w:val="36"/>
          <w:szCs w:val="36"/>
        </w:rPr>
        <w:t>Overall Trends and Methods</w:t>
      </w:r>
    </w:p>
    <w:p w14:paraId="64565347"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Across these papers and reviews:</w:t>
      </w:r>
    </w:p>
    <w:p w14:paraId="5EC5AC46" w14:textId="77777777" w:rsidR="00DC4C12" w:rsidRPr="00DC4C12" w:rsidRDefault="00DC4C12" w:rsidP="00DC4C1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Spectral variation or heterogeneity hypotheses</w:t>
      </w:r>
      <w:r w:rsidRPr="00DC4C12">
        <w:rPr>
          <w:rFonts w:ascii="Times New Roman" w:eastAsia="Times New Roman" w:hAnsi="Times New Roman" w:cs="Times New Roman"/>
          <w:sz w:val="24"/>
          <w:szCs w:val="24"/>
        </w:rPr>
        <w:t xml:space="preserve"> are often operationalized by computing spectral dispersion metrics — frequently in </w:t>
      </w:r>
      <w:r w:rsidRPr="00DC4C12">
        <w:rPr>
          <w:rFonts w:ascii="Times New Roman" w:eastAsia="Times New Roman" w:hAnsi="Times New Roman" w:cs="Times New Roman"/>
          <w:b/>
          <w:bCs/>
          <w:sz w:val="24"/>
          <w:szCs w:val="24"/>
        </w:rPr>
        <w:t>PCA or reduced spectral space</w:t>
      </w:r>
      <w:r w:rsidRPr="00DC4C12">
        <w:rPr>
          <w:rFonts w:ascii="Times New Roman" w:eastAsia="Times New Roman" w:hAnsi="Times New Roman" w:cs="Times New Roman"/>
          <w:sz w:val="24"/>
          <w:szCs w:val="24"/>
        </w:rPr>
        <w:t xml:space="preserve"> — and statistically relating them to in-situ diversity metrics. (</w:t>
      </w:r>
      <w:hyperlink r:id="rId15" w:tooltip="Forest Biodiversity Monitoring Based on Remotely Sensed ..." w:history="1">
        <w:r w:rsidRPr="00DC4C12">
          <w:rPr>
            <w:rFonts w:ascii="Times New Roman" w:eastAsia="Times New Roman" w:hAnsi="Times New Roman" w:cs="Times New Roman"/>
            <w:color w:val="0000FF"/>
            <w:sz w:val="24"/>
            <w:szCs w:val="24"/>
            <w:u w:val="single"/>
          </w:rPr>
          <w:t>MDPI</w:t>
        </w:r>
      </w:hyperlink>
      <w:r w:rsidRPr="00DC4C12">
        <w:rPr>
          <w:rFonts w:ascii="Times New Roman" w:eastAsia="Times New Roman" w:hAnsi="Times New Roman" w:cs="Times New Roman"/>
          <w:sz w:val="24"/>
          <w:szCs w:val="24"/>
        </w:rPr>
        <w:t>)</w:t>
      </w:r>
    </w:p>
    <w:p w14:paraId="606EDF55" w14:textId="77777777" w:rsidR="00DC4C12" w:rsidRPr="00DC4C12" w:rsidRDefault="00DC4C12" w:rsidP="00DC4C1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b/>
          <w:bCs/>
          <w:sz w:val="24"/>
          <w:szCs w:val="24"/>
        </w:rPr>
        <w:t>PCA</w:t>
      </w:r>
      <w:r w:rsidRPr="00DC4C12">
        <w:rPr>
          <w:rFonts w:ascii="Times New Roman" w:eastAsia="Times New Roman" w:hAnsi="Times New Roman" w:cs="Times New Roman"/>
          <w:sz w:val="24"/>
          <w:szCs w:val="24"/>
        </w:rPr>
        <w:t xml:space="preserve"> is used either to reduce hyperspectral dimensionality before computing distances, volumes, or clustering, or as part of workflows to define </w:t>
      </w:r>
      <w:r w:rsidRPr="00DC4C12">
        <w:rPr>
          <w:rFonts w:ascii="Times New Roman" w:eastAsia="Times New Roman" w:hAnsi="Times New Roman" w:cs="Times New Roman"/>
          <w:i/>
          <w:iCs/>
          <w:sz w:val="24"/>
          <w:szCs w:val="24"/>
        </w:rPr>
        <w:t>spectral species</w:t>
      </w:r>
      <w:r w:rsidRPr="00DC4C12">
        <w:rPr>
          <w:rFonts w:ascii="Times New Roman" w:eastAsia="Times New Roman" w:hAnsi="Times New Roman" w:cs="Times New Roman"/>
          <w:sz w:val="24"/>
          <w:szCs w:val="24"/>
        </w:rPr>
        <w:t xml:space="preserve"> clusters. (</w:t>
      </w:r>
      <w:hyperlink r:id="rId16" w:tooltip="The Spectral Species Concept in Living Color - PMC" w:history="1">
        <w:r w:rsidRPr="00DC4C12">
          <w:rPr>
            <w:rFonts w:ascii="Times New Roman" w:eastAsia="Times New Roman" w:hAnsi="Times New Roman" w:cs="Times New Roman"/>
            <w:color w:val="0000FF"/>
            <w:sz w:val="24"/>
            <w:szCs w:val="24"/>
            <w:u w:val="single"/>
          </w:rPr>
          <w:t>PMC</w:t>
        </w:r>
      </w:hyperlink>
      <w:r w:rsidRPr="00DC4C12">
        <w:rPr>
          <w:rFonts w:ascii="Times New Roman" w:eastAsia="Times New Roman" w:hAnsi="Times New Roman" w:cs="Times New Roman"/>
          <w:sz w:val="24"/>
          <w:szCs w:val="24"/>
        </w:rPr>
        <w:t>)</w:t>
      </w:r>
    </w:p>
    <w:p w14:paraId="187A9AEB" w14:textId="77777777" w:rsidR="00DC4C12" w:rsidRPr="00DC4C12" w:rsidRDefault="00DC4C12" w:rsidP="00DC4C1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lastRenderedPageBreak/>
        <w:t xml:space="preserve">Studies vary in </w:t>
      </w:r>
      <w:r w:rsidRPr="00DC4C12">
        <w:rPr>
          <w:rFonts w:ascii="Times New Roman" w:eastAsia="Times New Roman" w:hAnsi="Times New Roman" w:cs="Times New Roman"/>
          <w:b/>
          <w:bCs/>
          <w:sz w:val="24"/>
          <w:szCs w:val="24"/>
        </w:rPr>
        <w:t>ecosystem type, sensor platform, and statistical approach</w:t>
      </w:r>
      <w:r w:rsidRPr="00DC4C12">
        <w:rPr>
          <w:rFonts w:ascii="Times New Roman" w:eastAsia="Times New Roman" w:hAnsi="Times New Roman" w:cs="Times New Roman"/>
          <w:sz w:val="24"/>
          <w:szCs w:val="24"/>
        </w:rPr>
        <w:t>, but many include robust regression/correlation analyses comparing spectral metrics with field biodiversity. (</w:t>
      </w:r>
      <w:hyperlink r:id="rId17" w:tooltip="Forest Biodiversity Monitoring Based on Remotely Sensed ..." w:history="1">
        <w:r w:rsidRPr="00DC4C12">
          <w:rPr>
            <w:rFonts w:ascii="Times New Roman" w:eastAsia="Times New Roman" w:hAnsi="Times New Roman" w:cs="Times New Roman"/>
            <w:color w:val="0000FF"/>
            <w:sz w:val="24"/>
            <w:szCs w:val="24"/>
            <w:u w:val="single"/>
          </w:rPr>
          <w:t>MDPI</w:t>
        </w:r>
      </w:hyperlink>
      <w:r w:rsidRPr="00DC4C12">
        <w:rPr>
          <w:rFonts w:ascii="Times New Roman" w:eastAsia="Times New Roman" w:hAnsi="Times New Roman" w:cs="Times New Roman"/>
          <w:sz w:val="24"/>
          <w:szCs w:val="24"/>
        </w:rPr>
        <w:t>)</w:t>
      </w:r>
    </w:p>
    <w:p w14:paraId="3295F773"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E2897">
          <v:rect id="_x0000_i1054" style="width:0;height:1.5pt" o:hralign="center" o:hrstd="t" o:hr="t" fillcolor="#a0a0a0" stroked="f"/>
        </w:pict>
      </w:r>
    </w:p>
    <w:p w14:paraId="3E42B498" w14:textId="77777777" w:rsidR="00DC4C12" w:rsidRPr="00DC4C12" w:rsidRDefault="00DC4C12" w:rsidP="00DC4C12">
      <w:pPr>
        <w:spacing w:before="100" w:beforeAutospacing="1" w:after="100" w:afterAutospacing="1" w:line="240" w:lineRule="auto"/>
        <w:outlineLvl w:val="1"/>
        <w:rPr>
          <w:rFonts w:ascii="Times New Roman" w:eastAsia="Times New Roman" w:hAnsi="Times New Roman" w:cs="Times New Roman"/>
          <w:b/>
          <w:bCs/>
          <w:sz w:val="36"/>
          <w:szCs w:val="36"/>
        </w:rPr>
      </w:pPr>
      <w:r w:rsidRPr="00DC4C12">
        <w:rPr>
          <w:rFonts w:ascii="Times New Roman" w:eastAsia="Times New Roman" w:hAnsi="Times New Roman" w:cs="Times New Roman"/>
          <w:b/>
          <w:bCs/>
          <w:sz w:val="36"/>
          <w:szCs w:val="36"/>
        </w:rPr>
        <w:t>Where PCA Fits in These Methods</w:t>
      </w:r>
    </w:p>
    <w:p w14:paraId="2016FF71"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In the context of biodiversity estimation and spectral variability:</w:t>
      </w:r>
    </w:p>
    <w:p w14:paraId="2D524BD2" w14:textId="77777777" w:rsidR="00DC4C12" w:rsidRPr="00DC4C12" w:rsidRDefault="00DC4C12" w:rsidP="00DC4C1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PCA reduces the high-dimensional hyperspectral space into a few axes capturing most spectral variance.</w:t>
      </w:r>
    </w:p>
    <w:p w14:paraId="493392DA" w14:textId="77777777" w:rsidR="00DC4C12" w:rsidRPr="00DC4C12" w:rsidRDefault="00DC4C12" w:rsidP="00DC4C1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 xml:space="preserve">Dispersion metrics (mean distance from centroid, convex hull volume, clustering distances) in the PCA space quantify </w:t>
      </w:r>
      <w:r w:rsidRPr="00DC4C12">
        <w:rPr>
          <w:rFonts w:ascii="Times New Roman" w:eastAsia="Times New Roman" w:hAnsi="Times New Roman" w:cs="Times New Roman"/>
          <w:i/>
          <w:iCs/>
          <w:sz w:val="24"/>
          <w:szCs w:val="24"/>
        </w:rPr>
        <w:t>spectral heterogeneity</w:t>
      </w:r>
      <w:r w:rsidRPr="00DC4C12">
        <w:rPr>
          <w:rFonts w:ascii="Times New Roman" w:eastAsia="Times New Roman" w:hAnsi="Times New Roman" w:cs="Times New Roman"/>
          <w:sz w:val="24"/>
          <w:szCs w:val="24"/>
        </w:rPr>
        <w:t>.</w:t>
      </w:r>
    </w:p>
    <w:p w14:paraId="5A958DAF" w14:textId="77777777" w:rsidR="00DC4C12" w:rsidRPr="00DC4C12" w:rsidRDefault="00DC4C12" w:rsidP="00DC4C1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These spectral heterogeneity values are then statistically evaluated against biodiversity indices (species richness, Shannon diversity, functional or phylogenetic diversity). (</w:t>
      </w:r>
      <w:hyperlink r:id="rId18" w:tooltip="Forest Biodiversity Monitoring Based on Remotely Sensed ..." w:history="1">
        <w:r w:rsidRPr="00DC4C12">
          <w:rPr>
            <w:rFonts w:ascii="Times New Roman" w:eastAsia="Times New Roman" w:hAnsi="Times New Roman" w:cs="Times New Roman"/>
            <w:color w:val="0000FF"/>
            <w:sz w:val="24"/>
            <w:szCs w:val="24"/>
            <w:u w:val="single"/>
          </w:rPr>
          <w:t>MDPI</w:t>
        </w:r>
      </w:hyperlink>
      <w:r w:rsidRPr="00DC4C12">
        <w:rPr>
          <w:rFonts w:ascii="Times New Roman" w:eastAsia="Times New Roman" w:hAnsi="Times New Roman" w:cs="Times New Roman"/>
          <w:sz w:val="24"/>
          <w:szCs w:val="24"/>
        </w:rPr>
        <w:t>)</w:t>
      </w:r>
    </w:p>
    <w:p w14:paraId="36696045" w14:textId="77777777" w:rsidR="00DC4C12" w:rsidRPr="00DC4C12" w:rsidRDefault="00464C5D" w:rsidP="00DC4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280C5C">
          <v:rect id="_x0000_i1055" style="width:0;height:1.5pt" o:hralign="center" o:hrstd="t" o:hr="t" fillcolor="#a0a0a0" stroked="f"/>
        </w:pict>
      </w:r>
    </w:p>
    <w:p w14:paraId="039F0DEA" w14:textId="77777777" w:rsidR="00DC4C12" w:rsidRPr="00DC4C12" w:rsidRDefault="00DC4C12" w:rsidP="00DC4C12">
      <w:pPr>
        <w:spacing w:before="100" w:beforeAutospacing="1" w:after="100" w:afterAutospacing="1" w:line="240" w:lineRule="auto"/>
        <w:rPr>
          <w:rFonts w:ascii="Times New Roman" w:eastAsia="Times New Roman" w:hAnsi="Times New Roman" w:cs="Times New Roman"/>
          <w:sz w:val="24"/>
          <w:szCs w:val="24"/>
        </w:rPr>
      </w:pPr>
      <w:r w:rsidRPr="00DC4C12">
        <w:rPr>
          <w:rFonts w:ascii="Times New Roman" w:eastAsia="Times New Roman" w:hAnsi="Times New Roman" w:cs="Times New Roman"/>
          <w:sz w:val="24"/>
          <w:szCs w:val="24"/>
        </w:rPr>
        <w:t xml:space="preserve">If you want, I can </w:t>
      </w:r>
      <w:r w:rsidRPr="00DC4C12">
        <w:rPr>
          <w:rFonts w:ascii="Times New Roman" w:eastAsia="Times New Roman" w:hAnsi="Times New Roman" w:cs="Times New Roman"/>
          <w:b/>
          <w:bCs/>
          <w:sz w:val="24"/>
          <w:szCs w:val="24"/>
        </w:rPr>
        <w:t>generate a formatted reading list with full citations</w:t>
      </w:r>
      <w:r w:rsidRPr="00DC4C12">
        <w:rPr>
          <w:rFonts w:ascii="Times New Roman" w:eastAsia="Times New Roman" w:hAnsi="Times New Roman" w:cs="Times New Roman"/>
          <w:sz w:val="24"/>
          <w:szCs w:val="24"/>
        </w:rPr>
        <w:t xml:space="preserve"> (e.g., journal, year, DOI) or </w:t>
      </w:r>
      <w:r w:rsidRPr="00DC4C12">
        <w:rPr>
          <w:rFonts w:ascii="Times New Roman" w:eastAsia="Times New Roman" w:hAnsi="Times New Roman" w:cs="Times New Roman"/>
          <w:b/>
          <w:bCs/>
          <w:sz w:val="24"/>
          <w:szCs w:val="24"/>
        </w:rPr>
        <w:t>summarize the core statistical approaches</w:t>
      </w:r>
      <w:r w:rsidRPr="00DC4C12">
        <w:rPr>
          <w:rFonts w:ascii="Times New Roman" w:eastAsia="Times New Roman" w:hAnsi="Times New Roman" w:cs="Times New Roman"/>
          <w:sz w:val="24"/>
          <w:szCs w:val="24"/>
        </w:rPr>
        <w:t xml:space="preserve"> these papers use (e.g., regression types, null models) to help you cite them accurately.</w:t>
      </w:r>
    </w:p>
    <w:p w14:paraId="63FA8431" w14:textId="77777777" w:rsidR="0007322B" w:rsidRDefault="0007322B"/>
    <w:sectPr w:rsidR="00073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D039A"/>
    <w:multiLevelType w:val="multilevel"/>
    <w:tmpl w:val="A7D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598"/>
    <w:multiLevelType w:val="multilevel"/>
    <w:tmpl w:val="6F96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865"/>
    <w:multiLevelType w:val="multilevel"/>
    <w:tmpl w:val="4DB2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4E4B"/>
    <w:multiLevelType w:val="multilevel"/>
    <w:tmpl w:val="A3F2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60B2"/>
    <w:multiLevelType w:val="multilevel"/>
    <w:tmpl w:val="AAF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A1212"/>
    <w:multiLevelType w:val="multilevel"/>
    <w:tmpl w:val="043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D45A4"/>
    <w:multiLevelType w:val="multilevel"/>
    <w:tmpl w:val="DCBE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A7C11"/>
    <w:multiLevelType w:val="multilevel"/>
    <w:tmpl w:val="DAD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E14BA"/>
    <w:multiLevelType w:val="multilevel"/>
    <w:tmpl w:val="D208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F158F"/>
    <w:multiLevelType w:val="multilevel"/>
    <w:tmpl w:val="706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00F99"/>
    <w:multiLevelType w:val="multilevel"/>
    <w:tmpl w:val="4D2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6596E"/>
    <w:multiLevelType w:val="multilevel"/>
    <w:tmpl w:val="2ABE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A4BEF"/>
    <w:multiLevelType w:val="multilevel"/>
    <w:tmpl w:val="A71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617BF"/>
    <w:multiLevelType w:val="multilevel"/>
    <w:tmpl w:val="597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40E02"/>
    <w:multiLevelType w:val="multilevel"/>
    <w:tmpl w:val="45D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22D59"/>
    <w:multiLevelType w:val="multilevel"/>
    <w:tmpl w:val="EFD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267FC"/>
    <w:multiLevelType w:val="multilevel"/>
    <w:tmpl w:val="006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95991"/>
    <w:multiLevelType w:val="multilevel"/>
    <w:tmpl w:val="B1DC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F5C9E"/>
    <w:multiLevelType w:val="multilevel"/>
    <w:tmpl w:val="ABF6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F3A11"/>
    <w:multiLevelType w:val="multilevel"/>
    <w:tmpl w:val="C93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E2DE7"/>
    <w:multiLevelType w:val="multilevel"/>
    <w:tmpl w:val="5D3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15AD1"/>
    <w:multiLevelType w:val="multilevel"/>
    <w:tmpl w:val="7CF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A0DFF"/>
    <w:multiLevelType w:val="multilevel"/>
    <w:tmpl w:val="277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82E30"/>
    <w:multiLevelType w:val="multilevel"/>
    <w:tmpl w:val="559A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371BF"/>
    <w:multiLevelType w:val="multilevel"/>
    <w:tmpl w:val="EF7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70A7E"/>
    <w:multiLevelType w:val="multilevel"/>
    <w:tmpl w:val="4BE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01378"/>
    <w:multiLevelType w:val="multilevel"/>
    <w:tmpl w:val="1E7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3371B"/>
    <w:multiLevelType w:val="multilevel"/>
    <w:tmpl w:val="805E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263DC"/>
    <w:multiLevelType w:val="multilevel"/>
    <w:tmpl w:val="956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11CA1"/>
    <w:multiLevelType w:val="multilevel"/>
    <w:tmpl w:val="106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72531"/>
    <w:multiLevelType w:val="multilevel"/>
    <w:tmpl w:val="27F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76E42"/>
    <w:multiLevelType w:val="multilevel"/>
    <w:tmpl w:val="6E7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90E21"/>
    <w:multiLevelType w:val="multilevel"/>
    <w:tmpl w:val="502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95EAE"/>
    <w:multiLevelType w:val="multilevel"/>
    <w:tmpl w:val="218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64541"/>
    <w:multiLevelType w:val="multilevel"/>
    <w:tmpl w:val="0B14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412DD"/>
    <w:multiLevelType w:val="multilevel"/>
    <w:tmpl w:val="C64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D773F"/>
    <w:multiLevelType w:val="multilevel"/>
    <w:tmpl w:val="068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C3974"/>
    <w:multiLevelType w:val="multilevel"/>
    <w:tmpl w:val="999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D4D74"/>
    <w:multiLevelType w:val="multilevel"/>
    <w:tmpl w:val="5E6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2"/>
  </w:num>
  <w:num w:numId="4">
    <w:abstractNumId w:val="26"/>
  </w:num>
  <w:num w:numId="5">
    <w:abstractNumId w:val="28"/>
  </w:num>
  <w:num w:numId="6">
    <w:abstractNumId w:val="18"/>
  </w:num>
  <w:num w:numId="7">
    <w:abstractNumId w:val="27"/>
  </w:num>
  <w:num w:numId="8">
    <w:abstractNumId w:val="30"/>
  </w:num>
  <w:num w:numId="9">
    <w:abstractNumId w:val="36"/>
  </w:num>
  <w:num w:numId="10">
    <w:abstractNumId w:val="31"/>
  </w:num>
  <w:num w:numId="11">
    <w:abstractNumId w:val="12"/>
  </w:num>
  <w:num w:numId="12">
    <w:abstractNumId w:val="17"/>
  </w:num>
  <w:num w:numId="13">
    <w:abstractNumId w:val="38"/>
  </w:num>
  <w:num w:numId="14">
    <w:abstractNumId w:val="33"/>
  </w:num>
  <w:num w:numId="15">
    <w:abstractNumId w:val="16"/>
  </w:num>
  <w:num w:numId="16">
    <w:abstractNumId w:val="34"/>
  </w:num>
  <w:num w:numId="17">
    <w:abstractNumId w:val="35"/>
  </w:num>
  <w:num w:numId="18">
    <w:abstractNumId w:val="20"/>
  </w:num>
  <w:num w:numId="19">
    <w:abstractNumId w:val="15"/>
  </w:num>
  <w:num w:numId="20">
    <w:abstractNumId w:val="14"/>
  </w:num>
  <w:num w:numId="21">
    <w:abstractNumId w:val="1"/>
  </w:num>
  <w:num w:numId="22">
    <w:abstractNumId w:val="24"/>
  </w:num>
  <w:num w:numId="23">
    <w:abstractNumId w:val="25"/>
  </w:num>
  <w:num w:numId="24">
    <w:abstractNumId w:val="23"/>
  </w:num>
  <w:num w:numId="25">
    <w:abstractNumId w:val="4"/>
  </w:num>
  <w:num w:numId="26">
    <w:abstractNumId w:val="0"/>
  </w:num>
  <w:num w:numId="27">
    <w:abstractNumId w:val="10"/>
  </w:num>
  <w:num w:numId="28">
    <w:abstractNumId w:val="37"/>
  </w:num>
  <w:num w:numId="29">
    <w:abstractNumId w:val="21"/>
  </w:num>
  <w:num w:numId="30">
    <w:abstractNumId w:val="6"/>
  </w:num>
  <w:num w:numId="31">
    <w:abstractNumId w:val="11"/>
  </w:num>
  <w:num w:numId="32">
    <w:abstractNumId w:val="19"/>
  </w:num>
  <w:num w:numId="33">
    <w:abstractNumId w:val="8"/>
  </w:num>
  <w:num w:numId="34">
    <w:abstractNumId w:val="13"/>
  </w:num>
  <w:num w:numId="35">
    <w:abstractNumId w:val="32"/>
  </w:num>
  <w:num w:numId="36">
    <w:abstractNumId w:val="29"/>
  </w:num>
  <w:num w:numId="37">
    <w:abstractNumId w:val="7"/>
  </w:num>
  <w:num w:numId="38">
    <w:abstractNumId w:val="22"/>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64"/>
    <w:rsid w:val="0007322B"/>
    <w:rsid w:val="002C6CC7"/>
    <w:rsid w:val="00464C5D"/>
    <w:rsid w:val="00DC4C12"/>
    <w:rsid w:val="00F64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7AD4D421"/>
  <w15:chartTrackingRefBased/>
  <w15:docId w15:val="{012E3A47-DE3A-45BB-830C-9C984A6E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473622">
      <w:bodyDiv w:val="1"/>
      <w:marLeft w:val="0"/>
      <w:marRight w:val="0"/>
      <w:marTop w:val="0"/>
      <w:marBottom w:val="0"/>
      <w:divBdr>
        <w:top w:val="none" w:sz="0" w:space="0" w:color="auto"/>
        <w:left w:val="none" w:sz="0" w:space="0" w:color="auto"/>
        <w:bottom w:val="none" w:sz="0" w:space="0" w:color="auto"/>
        <w:right w:val="none" w:sz="0" w:space="0" w:color="auto"/>
      </w:divBdr>
    </w:div>
    <w:div w:id="1393655544">
      <w:bodyDiv w:val="1"/>
      <w:marLeft w:val="0"/>
      <w:marRight w:val="0"/>
      <w:marTop w:val="0"/>
      <w:marBottom w:val="0"/>
      <w:divBdr>
        <w:top w:val="none" w:sz="0" w:space="0" w:color="auto"/>
        <w:left w:val="none" w:sz="0" w:space="0" w:color="auto"/>
        <w:bottom w:val="none" w:sz="0" w:space="0" w:color="auto"/>
        <w:right w:val="none" w:sz="0" w:space="0" w:color="auto"/>
      </w:divBdr>
      <w:divsChild>
        <w:div w:id="1309433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0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733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865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499646">
      <w:bodyDiv w:val="1"/>
      <w:marLeft w:val="0"/>
      <w:marRight w:val="0"/>
      <w:marTop w:val="0"/>
      <w:marBottom w:val="0"/>
      <w:divBdr>
        <w:top w:val="none" w:sz="0" w:space="0" w:color="auto"/>
        <w:left w:val="none" w:sz="0" w:space="0" w:color="auto"/>
        <w:bottom w:val="none" w:sz="0" w:space="0" w:color="auto"/>
        <w:right w:val="none" w:sz="0" w:space="0" w:color="auto"/>
      </w:divBdr>
      <w:divsChild>
        <w:div w:id="534124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61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76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2-4292/14/21/5363?utm_source=chatgpt.com" TargetMode="External"/><Relationship Id="rId13" Type="http://schemas.openxmlformats.org/officeDocument/2006/relationships/hyperlink" Target="https://www.mdpi.com/2072-4292/16/23/4363?utm_source=chatgpt.com" TargetMode="External"/><Relationship Id="rId18" Type="http://schemas.openxmlformats.org/officeDocument/2006/relationships/hyperlink" Target="https://www.mdpi.com/2072-4292/14/21/5363?utm_source=chatgp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ubmed.ncbi.nlm.nih.gov/29760440/?utm_source=chatgpt.com" TargetMode="External"/><Relationship Id="rId17" Type="http://schemas.openxmlformats.org/officeDocument/2006/relationships/hyperlink" Target="https://www.mdpi.com/2072-4292/14/21/5363?utm_source=chatgpt.com" TargetMode="External"/><Relationship Id="rId2" Type="http://schemas.openxmlformats.org/officeDocument/2006/relationships/customXml" Target="../customXml/item2.xml"/><Relationship Id="rId16" Type="http://schemas.openxmlformats.org/officeDocument/2006/relationships/hyperlink" Target="https://pmc.ncbi.nlm.nih.gov/articles/PMC9539608/?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mc.ncbi.nlm.nih.gov/articles/PMC9539608/?utm_source=chatgpt.com" TargetMode="External"/><Relationship Id="rId5" Type="http://schemas.openxmlformats.org/officeDocument/2006/relationships/styles" Target="styles.xml"/><Relationship Id="rId15" Type="http://schemas.openxmlformats.org/officeDocument/2006/relationships/hyperlink" Target="https://www.mdpi.com/2072-4292/14/21/5363?utm_source=chatgpt.com" TargetMode="External"/><Relationship Id="rId10" Type="http://schemas.openxmlformats.org/officeDocument/2006/relationships/hyperlink" Target="https://en.wikipedia.org/wiki/Spectral_variability_hypothesis?utm_source=chatgpt.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ristinewallis.com/publication/journal-article9/?utm_source=chatgpt.com" TargetMode="External"/><Relationship Id="rId14" Type="http://schemas.openxmlformats.org/officeDocument/2006/relationships/hyperlink" Target="https://pmc.ncbi.nlm.nih.gov/articles/PMC543398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bd90bb11296c2c4b5ba164726c460751">
  <xsd:schema xmlns:xsd="http://www.w3.org/2001/XMLSchema" xmlns:xs="http://www.w3.org/2001/XMLSchema" xmlns:p="http://schemas.microsoft.com/office/2006/metadata/properties" xmlns:ns3="381ae226-ed8d-42b5-89e8-bafe2870bc59" targetNamespace="http://schemas.microsoft.com/office/2006/metadata/properties" ma:root="true" ma:fieldsID="cb7e1957f95de54cde2589d9923a2bbb"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E5A48-6775-41C1-93AA-BB4A0CAE5EAE}">
  <ds:schemaRefs>
    <ds:schemaRef ds:uri="http://schemas.microsoft.com/sharepoint/v3/contenttype/forms"/>
  </ds:schemaRefs>
</ds:datastoreItem>
</file>

<file path=customXml/itemProps2.xml><?xml version="1.0" encoding="utf-8"?>
<ds:datastoreItem xmlns:ds="http://schemas.openxmlformats.org/officeDocument/2006/customXml" ds:itemID="{8058CAFE-704E-4BEC-BE08-34F77D6A518D}">
  <ds:schemaRefs>
    <ds:schemaRef ds:uri="http://schemas.microsoft.com/office/2006/documentManagement/types"/>
    <ds:schemaRef ds:uri="http://purl.org/dc/terms/"/>
    <ds:schemaRef ds:uri="381ae226-ed8d-42b5-89e8-bafe2870bc59"/>
    <ds:schemaRef ds:uri="http://schemas.openxmlformats.org/package/2006/metadata/core-properties"/>
    <ds:schemaRef ds:uri="http://purl.org/dc/elements/1.1/"/>
    <ds:schemaRef ds:uri="http://schemas.microsoft.com/office/2006/metadata/properties"/>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D0170BFE-3E52-465C-812C-28EFFEC64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15</Pages>
  <Words>2982</Words>
  <Characters>17001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3</cp:revision>
  <dcterms:created xsi:type="dcterms:W3CDTF">2026-01-12T17:32:00Z</dcterms:created>
  <dcterms:modified xsi:type="dcterms:W3CDTF">2026-02-25T20:20:00Z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