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B670C" w14:textId="70952F63" w:rsidR="009A2075" w:rsidRDefault="009A2075" w:rsidP="00D346D4">
      <w:pPr>
        <w:pStyle w:val="NormalWeb"/>
      </w:pPr>
      <w:r>
        <w:t>Methods:</w:t>
      </w:r>
    </w:p>
    <w:p w14:paraId="2647CCEC" w14:textId="7E5C16F4" w:rsidR="00134AD8" w:rsidRDefault="00134AD8" w:rsidP="00D346D4">
      <w:pPr>
        <w:pStyle w:val="NormalWeb"/>
      </w:pPr>
      <w:commentRangeStart w:id="0"/>
      <w:r>
        <w:t>Study Site</w:t>
      </w:r>
      <w:commentRangeEnd w:id="0"/>
      <w:r w:rsidR="00D3602C">
        <w:rPr>
          <w:rStyle w:val="CommentReference"/>
          <w:sz w:val="24"/>
          <w:szCs w:val="24"/>
        </w:rPr>
        <w:commentReference w:id="0"/>
      </w:r>
    </w:p>
    <w:p w14:paraId="2F663040" w14:textId="73674BE1" w:rsidR="00134AD8" w:rsidRDefault="00134AD8" w:rsidP="00D346D4">
      <w:pPr>
        <w:pStyle w:val="NormalWeb"/>
      </w:pPr>
      <w:commentRangeStart w:id="1"/>
      <w:r w:rsidRPr="00134AD8">
        <w:t xml:space="preserve">The study area is 17-hectare subset of the 20-hectare Paint Rock Forest Dynamics Plot, located in Jackson County, Alabama </w:t>
      </w:r>
      <w:commentRangeEnd w:id="1"/>
      <w:r w:rsidR="00D3602C" w:rsidRPr="00134AD8">
        <w:rPr>
          <w:rStyle w:val="CommentReference"/>
          <w:sz w:val="24"/>
          <w:szCs w:val="24"/>
        </w:rPr>
        <w:commentReference w:id="1"/>
      </w:r>
      <w:r w:rsidRPr="00134AD8">
        <w:t xml:space="preserve">(Figure </w:t>
      </w:r>
      <w:r w:rsidR="00A31D91">
        <w:t>XX</w:t>
      </w:r>
      <w:r w:rsidRPr="00134AD8">
        <w:t>). The elevation ranges from 192 to 304 meters</w:t>
      </w:r>
      <w:ins w:id="2" w:author="Dawn Lemke" w:date="2026-04-07T12:37:00Z" w16du:dateUtc="2026-04-07T17:37:00Z">
        <w:r w:rsidR="00D3602C">
          <w:t xml:space="preserve"> (</w:t>
        </w:r>
      </w:ins>
      <w:del w:id="3" w:author="Dawn Lemke" w:date="2026-04-07T12:37:00Z" w16du:dateUtc="2026-04-07T17:37:00Z">
        <w:r w:rsidRPr="00134AD8" w:rsidDel="00D3602C">
          <w:delText xml:space="preserve">, according to the </w:delText>
        </w:r>
      </w:del>
      <w:r w:rsidRPr="00134AD8">
        <w:t>Leaf-off LiDAR DTM,</w:t>
      </w:r>
      <w:ins w:id="4" w:author="Dawn Lemke" w:date="2026-04-07T12:38:00Z" w16du:dateUtc="2026-04-07T17:38:00Z">
        <w:r w:rsidR="00D3602C">
          <w:t xml:space="preserve"> 2025?)</w:t>
        </w:r>
      </w:ins>
      <w:r w:rsidRPr="00134AD8">
        <w:t xml:space="preserve"> </w:t>
      </w:r>
      <w:commentRangeStart w:id="5"/>
      <w:commentRangeStart w:id="6"/>
      <w:r w:rsidRPr="00134AD8">
        <w:t xml:space="preserve">with an average annual precipitation of 140 cm and a July high temperature of 34.4 C and a January low of 1.7 °C (NWS, Scottsboro. 2024). </w:t>
      </w:r>
      <w:commentRangeEnd w:id="5"/>
      <w:r w:rsidR="00A31D91" w:rsidRPr="00134AD8">
        <w:rPr>
          <w:rStyle w:val="CommentReference"/>
          <w:sz w:val="24"/>
          <w:szCs w:val="24"/>
        </w:rPr>
        <w:commentReference w:id="5"/>
      </w:r>
      <w:commentRangeEnd w:id="6"/>
      <w:r w:rsidR="00D3602C" w:rsidRPr="00134AD8">
        <w:rPr>
          <w:rStyle w:val="CommentReference"/>
          <w:sz w:val="24"/>
          <w:szCs w:val="24"/>
        </w:rPr>
        <w:commentReference w:id="6"/>
      </w:r>
      <w:r w:rsidRPr="00134AD8">
        <w:t xml:space="preserve">This is a </w:t>
      </w:r>
      <w:commentRangeStart w:id="7"/>
      <w:r w:rsidRPr="00134AD8">
        <w:t xml:space="preserve">mixed forest </w:t>
      </w:r>
      <w:commentRangeEnd w:id="7"/>
      <w:r w:rsidR="00D3602C" w:rsidRPr="00134AD8">
        <w:rPr>
          <w:rStyle w:val="CommentReference"/>
          <w:sz w:val="24"/>
          <w:szCs w:val="24"/>
        </w:rPr>
        <w:commentReference w:id="7"/>
      </w:r>
      <w:r w:rsidRPr="00134AD8">
        <w:t xml:space="preserve">that has regenerated from logging that occurred in the late 19th and early 20th centuries (Lemke et al. 2025). The most </w:t>
      </w:r>
      <w:del w:id="8" w:author="Dawn Lemke" w:date="2026-04-07T12:39:00Z" w16du:dateUtc="2026-04-07T17:39:00Z">
        <w:r w:rsidRPr="00134AD8" w:rsidDel="00D3602C">
          <w:delText xml:space="preserve">common </w:delText>
        </w:r>
      </w:del>
      <w:ins w:id="9" w:author="Dawn Lemke" w:date="2026-04-07T12:39:00Z" w16du:dateUtc="2026-04-07T17:39:00Z">
        <w:r w:rsidR="00D3602C">
          <w:t>dominant</w:t>
        </w:r>
        <w:r w:rsidR="00D3602C" w:rsidRPr="00134AD8">
          <w:t xml:space="preserve"> </w:t>
        </w:r>
      </w:ins>
      <w:r w:rsidRPr="00134AD8">
        <w:t xml:space="preserve">species in the study area by canopy occurrence </w:t>
      </w:r>
      <w:del w:id="10" w:author="Dawn Lemke" w:date="2026-04-07T12:39:00Z" w16du:dateUtc="2026-04-07T17:39:00Z">
        <w:r w:rsidRPr="00134AD8" w:rsidDel="00D3602C">
          <w:delText xml:space="preserve">included </w:delText>
        </w:r>
      </w:del>
      <w:ins w:id="11" w:author="Dawn Lemke" w:date="2026-04-07T12:39:00Z" w16du:dateUtc="2026-04-07T17:39:00Z">
        <w:r w:rsidR="00D3602C">
          <w:t xml:space="preserve">are </w:t>
        </w:r>
      </w:ins>
      <w:r w:rsidRPr="00D3602C">
        <w:rPr>
          <w:i/>
          <w:iCs/>
          <w:rPrChange w:id="12" w:author="Dawn Lemke" w:date="2026-04-07T12:39:00Z" w16du:dateUtc="2026-04-07T17:39:00Z">
            <w:rPr/>
          </w:rPrChange>
        </w:rPr>
        <w:t>Liriodendron tulipifera</w:t>
      </w:r>
      <w:r w:rsidRPr="00134AD8">
        <w:t xml:space="preserve">, </w:t>
      </w:r>
      <w:r w:rsidRPr="00D3602C">
        <w:rPr>
          <w:i/>
          <w:iCs/>
          <w:rPrChange w:id="13" w:author="Dawn Lemke" w:date="2026-04-07T12:39:00Z" w16du:dateUtc="2026-04-07T17:39:00Z">
            <w:rPr/>
          </w:rPrChange>
        </w:rPr>
        <w:t>Liquidambar styraciflua</w:t>
      </w:r>
      <w:r w:rsidRPr="00134AD8">
        <w:t xml:space="preserve">, and </w:t>
      </w:r>
      <w:r w:rsidRPr="00D3602C">
        <w:rPr>
          <w:i/>
          <w:iCs/>
          <w:rPrChange w:id="14" w:author="Dawn Lemke" w:date="2026-04-07T12:39:00Z" w16du:dateUtc="2026-04-07T17:39:00Z">
            <w:rPr/>
          </w:rPrChange>
        </w:rPr>
        <w:t>Fraxinus americana</w:t>
      </w:r>
      <w:r w:rsidRPr="00134AD8">
        <w:t xml:space="preserve">, followed by </w:t>
      </w:r>
      <w:r w:rsidRPr="00D3602C">
        <w:rPr>
          <w:i/>
          <w:iCs/>
          <w:rPrChange w:id="15" w:author="Dawn Lemke" w:date="2026-04-07T12:40:00Z" w16du:dateUtc="2026-04-07T17:40:00Z">
            <w:rPr/>
          </w:rPrChange>
        </w:rPr>
        <w:t>Carya cordiformis</w:t>
      </w:r>
      <w:r w:rsidRPr="00134AD8">
        <w:t xml:space="preserve">, </w:t>
      </w:r>
      <w:r w:rsidRPr="00D3602C">
        <w:rPr>
          <w:i/>
          <w:iCs/>
          <w:rPrChange w:id="16" w:author="Dawn Lemke" w:date="2026-04-07T12:40:00Z" w16du:dateUtc="2026-04-07T17:40:00Z">
            <w:rPr/>
          </w:rPrChange>
        </w:rPr>
        <w:t>Quercus alba</w:t>
      </w:r>
      <w:r w:rsidRPr="00134AD8">
        <w:t xml:space="preserve">, and </w:t>
      </w:r>
      <w:r w:rsidRPr="00D3602C">
        <w:rPr>
          <w:i/>
          <w:iCs/>
          <w:rPrChange w:id="17" w:author="Dawn Lemke" w:date="2026-04-07T12:40:00Z" w16du:dateUtc="2026-04-07T17:40:00Z">
            <w:rPr/>
          </w:rPrChange>
        </w:rPr>
        <w:t>Quercus shumardii</w:t>
      </w:r>
      <w:r w:rsidRPr="00134AD8">
        <w:t xml:space="preserve">. </w:t>
      </w:r>
      <w:del w:id="18" w:author="Dawn Lemke" w:date="2026-04-07T12:40:00Z" w16du:dateUtc="2026-04-07T17:40:00Z">
        <w:r w:rsidRPr="00134AD8" w:rsidDel="00D3602C">
          <w:delText xml:space="preserve">Less frequently recorded species included Carya ovata, Quercus muehlenbergii, and Tilia Americana </w:delText>
        </w:r>
      </w:del>
      <w:r w:rsidRPr="00134AD8">
        <w:t xml:space="preserve">(Lemke et al. 2025). </w:t>
      </w:r>
      <w:ins w:id="19" w:author="Dawn Lemke" w:date="2026-04-07T12:40:00Z" w16du:dateUtc="2026-04-07T17:40:00Z">
        <w:r w:rsidR="00D3602C">
          <w:t>The most common softwood is</w:t>
        </w:r>
      </w:ins>
      <w:del w:id="20" w:author="Dawn Lemke" w:date="2026-04-07T12:40:00Z" w16du:dateUtc="2026-04-07T17:40:00Z">
        <w:r w:rsidRPr="00134AD8" w:rsidDel="00D3602C">
          <w:delText>There is a</w:delText>
        </w:r>
      </w:del>
      <w:r w:rsidRPr="00134AD8">
        <w:t xml:space="preserve"> </w:t>
      </w:r>
      <w:r w:rsidRPr="00D3602C">
        <w:rPr>
          <w:i/>
          <w:iCs/>
          <w:rPrChange w:id="21" w:author="Dawn Lemke" w:date="2026-04-07T12:40:00Z" w16du:dateUtc="2026-04-07T17:40:00Z">
            <w:rPr/>
          </w:rPrChange>
        </w:rPr>
        <w:t>Pinus echinate</w:t>
      </w:r>
      <w:del w:id="22" w:author="Dawn Lemke" w:date="2026-04-07T12:41:00Z" w16du:dateUtc="2026-04-07T17:41:00Z">
        <w:r w:rsidRPr="00134AD8" w:rsidDel="00D3602C">
          <w:delText xml:space="preserve"> </w:delText>
        </w:r>
      </w:del>
      <w:ins w:id="23" w:author="Dawn Lemke" w:date="2026-04-07T12:41:00Z" w16du:dateUtc="2026-04-07T17:41:00Z">
        <w:r w:rsidR="00D3602C">
          <w:t xml:space="preserve">, in one </w:t>
        </w:r>
      </w:ins>
      <w:r w:rsidRPr="00134AD8">
        <w:t xml:space="preserve">stand near the southern corner of the plot. </w:t>
      </w:r>
      <w:ins w:id="24" w:author="Dawn Lemke" w:date="2026-04-07T12:41:00Z" w16du:dateUtc="2026-04-07T17:41:00Z">
        <w:r w:rsidR="00D3602C">
          <w:t xml:space="preserve">Our study area within the Paint Rock ForestGEO plot where </w:t>
        </w:r>
      </w:ins>
      <w:del w:id="25" w:author="Dawn Lemke" w:date="2026-04-07T12:41:00Z" w16du:dateUtc="2026-04-07T17:41:00Z">
        <w:r w:rsidRPr="00134AD8" w:rsidDel="00D3602C">
          <w:delText xml:space="preserve">Forest census </w:delText>
        </w:r>
      </w:del>
      <w:del w:id="26" w:author="Dawn Lemke" w:date="2026-04-07T12:42:00Z" w16du:dateUtc="2026-04-07T17:42:00Z">
        <w:r w:rsidRPr="00134AD8" w:rsidDel="00D3602C">
          <w:delText xml:space="preserve">data included </w:delText>
        </w:r>
      </w:del>
      <w:r w:rsidRPr="00134AD8">
        <w:t>species identification, tree location, tag number, diameter at breast height (DBH), and canopy position index (CPI) for all trees with a DBH greater than 1 centimeter</w:t>
      </w:r>
      <w:ins w:id="27" w:author="Dawn Lemke" w:date="2026-04-07T12:42:00Z" w16du:dateUtc="2026-04-07T17:42:00Z">
        <w:r w:rsidR="00D3602C">
          <w:t xml:space="preserve"> (Lemke et al 2026)</w:t>
        </w:r>
      </w:ins>
      <w:r w:rsidRPr="00134AD8">
        <w:t xml:space="preserve">. </w:t>
      </w:r>
      <w:del w:id="28" w:author="Dawn Lemke" w:date="2026-04-07T12:42:00Z" w16du:dateUtc="2026-04-07T17:42:00Z">
        <w:r w:rsidRPr="00134AD8" w:rsidDel="00D3602C">
          <w:delText xml:space="preserve">DBH was measured at a standard height of 1.37 meters above ground as each tree was labeled with a tag number and identified by species. </w:delText>
        </w:r>
      </w:del>
      <w:r w:rsidRPr="00134AD8">
        <w:t>Canopy positions were classified into five categories based on the proportion of direct sunlight received: categories 1 and 2 represented trees receiving less than 10% direct sunlight, category 3 included trees receiving between 10% and 90%, and categories 4 and 5 represented trees exposed to more than 90% direct sunlight.</w:t>
      </w:r>
      <w:ins w:id="29" w:author="Dawn Lemke" w:date="2026-04-07T12:43:00Z" w16du:dateUtc="2026-04-07T17:43:00Z">
        <w:r w:rsidR="00D3602C">
          <w:t xml:space="preserve"> With in our study area XXX indivi</w:t>
        </w:r>
      </w:ins>
      <w:ins w:id="30" w:author="Dawn Lemke" w:date="2026-04-07T14:00:00Z" w16du:dateUtc="2026-04-07T19:00:00Z">
        <w:r w:rsidR="009036B1">
          <w:t>du</w:t>
        </w:r>
      </w:ins>
      <w:ins w:id="31" w:author="Dawn Lemke" w:date="2026-04-07T12:43:00Z" w16du:dateUtc="2026-04-07T17:43:00Z">
        <w:r w:rsidR="00D3602C">
          <w:t xml:space="preserve">al trees have been mapped </w:t>
        </w:r>
      </w:ins>
      <w:ins w:id="32" w:author="Dawn Lemke" w:date="2026-04-07T14:00:00Z" w16du:dateUtc="2026-04-07T19:00:00Z">
        <w:r w:rsidR="009036B1">
          <w:t>representing</w:t>
        </w:r>
      </w:ins>
      <w:ins w:id="33" w:author="Dawn Lemke" w:date="2026-04-07T12:43:00Z" w16du:dateUtc="2026-04-07T17:43:00Z">
        <w:r w:rsidR="00D3602C">
          <w:t xml:space="preserve"> ## sp</w:t>
        </w:r>
      </w:ins>
      <w:del w:id="34" w:author="Dawn Lemke" w:date="2026-04-07T12:43:00Z" w16du:dateUtc="2026-04-07T17:43:00Z">
        <w:r w:rsidRPr="00134AD8" w:rsidDel="00D3602C">
          <w:delText xml:space="preserve"> </w:delText>
        </w:r>
        <w:commentRangeStart w:id="35"/>
        <w:r w:rsidRPr="00134AD8" w:rsidDel="00D3602C">
          <w:delText>The census documents 2</w:delText>
        </w:r>
        <w:r w:rsidR="0008078C" w:rsidDel="00D3602C">
          <w:delText xml:space="preserve">8,774 </w:delText>
        </w:r>
        <w:r w:rsidRPr="00134AD8" w:rsidDel="00D3602C">
          <w:delText>individual trees representing 73 different species (Lemke et al. 2025)</w:delText>
        </w:r>
        <w:commentRangeEnd w:id="35"/>
        <w:r w:rsidR="00FB35EE" w:rsidRPr="00134AD8" w:rsidDel="00D3602C">
          <w:rPr>
            <w:rStyle w:val="CommentReference"/>
            <w:sz w:val="24"/>
            <w:szCs w:val="24"/>
          </w:rPr>
          <w:commentReference w:id="35"/>
        </w:r>
        <w:r w:rsidRPr="00134AD8" w:rsidDel="00D3602C">
          <w:delText>,</w:delText>
        </w:r>
      </w:del>
      <w:r w:rsidRPr="00134AD8">
        <w:t xml:space="preserve"> of which </w:t>
      </w:r>
      <w:del w:id="36" w:author="Dawn Lemke" w:date="2026-04-07T12:44:00Z" w16du:dateUtc="2026-04-07T17:44:00Z">
        <w:r w:rsidR="0008078C" w:rsidDel="00D3602C">
          <w:delText>4,520</w:delText>
        </w:r>
      </w:del>
      <w:ins w:id="37" w:author="Dawn Lemke" w:date="2026-04-07T12:44:00Z" w16du:dateUtc="2026-04-07T17:44:00Z">
        <w:r w:rsidR="00D3602C">
          <w:t>XX</w:t>
        </w:r>
      </w:ins>
      <w:r w:rsidRPr="00134AD8">
        <w:t xml:space="preserve"> individuals </w:t>
      </w:r>
      <w:r w:rsidR="0008078C">
        <w:t xml:space="preserve">representing </w:t>
      </w:r>
      <w:del w:id="38" w:author="Dawn Lemke" w:date="2026-04-07T12:44:00Z" w16du:dateUtc="2026-04-07T17:44:00Z">
        <w:r w:rsidR="0008078C" w:rsidDel="00D3602C">
          <w:delText xml:space="preserve">50 </w:delText>
        </w:r>
      </w:del>
      <w:ins w:id="39" w:author="Dawn Lemke" w:date="2026-04-07T12:44:00Z" w16du:dateUtc="2026-04-07T17:44:00Z">
        <w:r w:rsidR="00D3602C">
          <w:t>XX</w:t>
        </w:r>
        <w:r w:rsidR="00D3602C">
          <w:t xml:space="preserve"> </w:t>
        </w:r>
      </w:ins>
      <w:r w:rsidR="0008078C">
        <w:t xml:space="preserve">species were considered to be upper canopy trees </w:t>
      </w:r>
      <w:del w:id="40" w:author="Dawn Lemke" w:date="2026-04-07T12:44:00Z" w16du:dateUtc="2026-04-07T17:44:00Z">
        <w:r w:rsidR="0008078C" w:rsidDel="00D3602C">
          <w:delText>and were</w:delText>
        </w:r>
        <w:r w:rsidRPr="00134AD8" w:rsidDel="00D3602C">
          <w:delText xml:space="preserve"> included in </w:delText>
        </w:r>
        <w:r w:rsidR="0008078C" w:rsidDel="00D3602C">
          <w:delText>this</w:delText>
        </w:r>
      </w:del>
      <w:r w:rsidRPr="00134AD8">
        <w:t>.</w:t>
      </w:r>
    </w:p>
    <w:p w14:paraId="3A6A3D55" w14:textId="1DEC2D29" w:rsidR="00134AD8" w:rsidRDefault="00134AD8" w:rsidP="00134AD8">
      <w:pPr>
        <w:pStyle w:val="NormalWeb"/>
      </w:pPr>
      <w:r>
        <w:t>Hyperspectral</w:t>
      </w:r>
    </w:p>
    <w:p w14:paraId="20FC188B" w14:textId="3287A5DE" w:rsidR="003A1300" w:rsidRDefault="003A1300" w:rsidP="00134AD8">
      <w:pPr>
        <w:pStyle w:val="NormalWeb"/>
      </w:pPr>
      <w:r>
        <w:t>Data Collection</w:t>
      </w:r>
    </w:p>
    <w:p w14:paraId="56DF2009" w14:textId="6F0156F9" w:rsidR="00134AD8" w:rsidRDefault="00134AD8" w:rsidP="00134AD8">
      <w:pPr>
        <w:pStyle w:val="NormalWeb"/>
      </w:pPr>
      <w:r>
        <w:t xml:space="preserve">The aerial hyperspectral imagery was collected over the </w:t>
      </w:r>
      <w:del w:id="41" w:author="Dawn Lemke" w:date="2026-04-07T12:44:00Z" w16du:dateUtc="2026-04-07T17:44:00Z">
        <w:r w:rsidDel="00D3602C">
          <w:delText>Paint Rock forest dynamic plot</w:delText>
        </w:r>
      </w:del>
      <w:ins w:id="42" w:author="Dawn Lemke" w:date="2026-04-07T12:44:00Z" w16du:dateUtc="2026-04-07T17:44:00Z">
        <w:r w:rsidR="00D3602C">
          <w:t>study area</w:t>
        </w:r>
      </w:ins>
      <w:r>
        <w:t xml:space="preserve"> in June of 2024. </w:t>
      </w:r>
      <w:commentRangeStart w:id="43"/>
      <w:r>
        <w:t>Data was collected using the Headwall Micro A-series Visible/ Near-Infrared push-broom imaging, ( 396.345 to 1001.95 nm,  328 spectral bands, approximate 2 nm spectral resolution,  spatial resolution of 10 centimeters). The sensor, hard-mounted on a DJI Matrice 600 UAS, provided accurate spatial data, with the geometric position of each image recorded on-board using an APX-15 Global Positioning System/Inertial Measurement Unit with a location of approximately 1 m. The atmospheric conditions during the flight were partly cloudy with moderate wind gusts from the west.</w:t>
      </w:r>
      <w:commentRangeEnd w:id="43"/>
      <w:r w:rsidR="00D3602C">
        <w:rPr>
          <w:rStyle w:val="CommentReference"/>
          <w:sz w:val="24"/>
          <w:szCs w:val="24"/>
        </w:rPr>
        <w:commentReference w:id="43"/>
      </w:r>
    </w:p>
    <w:p w14:paraId="1CFF8EA4" w14:textId="5A55E1EB" w:rsidR="00E3466B" w:rsidRDefault="00134AD8" w:rsidP="00134AD8">
      <w:pPr>
        <w:pStyle w:val="NormalWeb"/>
      </w:pPr>
      <w:r>
        <w:t xml:space="preserve">Reference standards were used to apply radiometric calibrations for all images. Before each flight, a white reference Spectralon panel covering the entire field of view under ambient light was used to assess illumination conditions and set the frame rate and flight speed, ensuring consistent pixel size. Pixels from a 56% reflectance tarp were also selected for further post processing radiometric calibration. The 56% tarp reflectance was used to convert radiance to reflectance using the sensor manufacturer’s software, which applies the empirical line approach </w:t>
      </w:r>
      <w:r>
        <w:lastRenderedPageBreak/>
        <w:t xml:space="preserve">and compares it to the white reference. </w:t>
      </w:r>
      <w:commentRangeStart w:id="44"/>
      <w:r>
        <w:t xml:space="preserve">These </w:t>
      </w:r>
      <w:r w:rsidR="00D31F58">
        <w:t>28</w:t>
      </w:r>
      <w:r>
        <w:t xml:space="preserve"> images </w:t>
      </w:r>
      <w:commentRangeEnd w:id="44"/>
      <w:r w:rsidR="00D3602C">
        <w:rPr>
          <w:rStyle w:val="CommentReference"/>
          <w:sz w:val="24"/>
          <w:szCs w:val="24"/>
        </w:rPr>
        <w:commentReference w:id="44"/>
      </w:r>
      <w:r>
        <w:t xml:space="preserve">were orthorectified to World Geodetic System 1984 with Universal Transverse Mercator projection, Zone 16 using The United States Geological Service 10m resolution digital elevation model product (Nelson 2024). </w:t>
      </w:r>
      <w:commentRangeStart w:id="45"/>
      <w:r>
        <w:t>Data collection postprocessing was done by Peter Nelson’s Laboratory of Ecological Spectroscopy using Headwall’s software.</w:t>
      </w:r>
      <w:commentRangeEnd w:id="45"/>
      <w:r w:rsidR="00D3602C">
        <w:rPr>
          <w:rStyle w:val="CommentReference"/>
          <w:sz w:val="24"/>
          <w:szCs w:val="24"/>
        </w:rPr>
        <w:commentReference w:id="45"/>
      </w:r>
    </w:p>
    <w:p w14:paraId="430E7740" w14:textId="40980BE1" w:rsidR="00512B0E" w:rsidRDefault="00F24A2A" w:rsidP="00512B0E">
      <w:pPr>
        <w:pStyle w:val="NormalWeb"/>
      </w:pPr>
      <w:r>
        <w:t>Data Processing:</w:t>
      </w:r>
    </w:p>
    <w:p w14:paraId="24B1EF28" w14:textId="6BE9BB71" w:rsidR="008A0DF6" w:rsidRDefault="008A0DF6" w:rsidP="008A0DF6">
      <w:pPr>
        <w:pStyle w:val="NormalWeb"/>
      </w:pPr>
      <w:commentRangeStart w:id="46"/>
      <w:r>
        <w:t xml:space="preserve">Hyperspectral imagery was spatially partitioned into </w:t>
      </w:r>
      <w:commentRangeEnd w:id="46"/>
      <w:r w:rsidR="001346E2">
        <w:rPr>
          <w:rStyle w:val="CommentReference"/>
          <w:sz w:val="24"/>
          <w:szCs w:val="24"/>
        </w:rPr>
        <w:commentReference w:id="46"/>
      </w:r>
      <w:commentRangeStart w:id="47"/>
      <w:r>
        <w:t>quadrats corresponding to the field census design</w:t>
      </w:r>
      <w:commentRangeEnd w:id="47"/>
      <w:r w:rsidR="001346E2">
        <w:rPr>
          <w:rStyle w:val="CommentReference"/>
          <w:sz w:val="24"/>
          <w:szCs w:val="24"/>
        </w:rPr>
        <w:commentReference w:id="47"/>
      </w:r>
      <w:r>
        <w:t xml:space="preserve">. </w:t>
      </w:r>
      <w:commentRangeStart w:id="48"/>
      <w:r>
        <w:t>For each quadrat, pixels were selected by identifying those nearest to the center of each hyperspectral tile that intersected the quadrat extent</w:t>
      </w:r>
      <w:commentRangeEnd w:id="48"/>
      <w:r w:rsidR="001346E2">
        <w:rPr>
          <w:rStyle w:val="CommentReference"/>
          <w:sz w:val="24"/>
          <w:szCs w:val="24"/>
        </w:rPr>
        <w:commentReference w:id="48"/>
      </w:r>
      <w:r>
        <w:t xml:space="preserve">, </w:t>
      </w:r>
      <w:commentRangeStart w:id="49"/>
      <w:r>
        <w:t xml:space="preserve">implemented using the </w:t>
      </w:r>
      <w:r>
        <w:rPr>
          <w:rStyle w:val="Emphasis"/>
        </w:rPr>
        <w:t>terra()</w:t>
      </w:r>
      <w:r>
        <w:t xml:space="preserve"> package in R</w:t>
      </w:r>
      <w:commentRangeEnd w:id="49"/>
      <w:r w:rsidR="001346E2">
        <w:rPr>
          <w:rStyle w:val="CommentReference"/>
          <w:sz w:val="24"/>
          <w:szCs w:val="24"/>
        </w:rPr>
        <w:commentReference w:id="49"/>
      </w:r>
      <w:r>
        <w:t xml:space="preserve">. </w:t>
      </w:r>
      <w:commentRangeStart w:id="50"/>
      <w:r>
        <w:t xml:space="preserve">Tiles </w:t>
      </w:r>
      <w:commentRangeEnd w:id="50"/>
      <w:r w:rsidR="001346E2">
        <w:rPr>
          <w:rStyle w:val="CommentReference"/>
          <w:sz w:val="24"/>
          <w:szCs w:val="24"/>
        </w:rPr>
        <w:commentReference w:id="50"/>
      </w:r>
      <w:r>
        <w:t xml:space="preserve">exhibiting </w:t>
      </w:r>
      <w:commentRangeStart w:id="51"/>
      <w:r>
        <w:t xml:space="preserve">substantial </w:t>
      </w:r>
      <w:commentRangeEnd w:id="51"/>
      <w:r w:rsidR="001346E2">
        <w:rPr>
          <w:rStyle w:val="CommentReference"/>
          <w:sz w:val="24"/>
          <w:szCs w:val="24"/>
        </w:rPr>
        <w:commentReference w:id="51"/>
      </w:r>
      <w:r>
        <w:t xml:space="preserve">illumination distortions were excluded prior to partitioning, resulting in discontinuities in spatial coverage where affected tiles had been removed. To reduce bias associated with uneven illumination, quadrats with </w:t>
      </w:r>
      <w:commentRangeStart w:id="52"/>
      <w:r>
        <w:t xml:space="preserve">insufficient valid pixel coverage </w:t>
      </w:r>
      <w:commentRangeEnd w:id="52"/>
      <w:r w:rsidR="001346E2">
        <w:rPr>
          <w:rStyle w:val="CommentReference"/>
          <w:sz w:val="24"/>
          <w:szCs w:val="24"/>
        </w:rPr>
        <w:commentReference w:id="52"/>
      </w:r>
      <w:r>
        <w:t>were also excluded from further analysis</w:t>
      </w:r>
      <w:commentRangeStart w:id="53"/>
      <w:r>
        <w:t xml:space="preserve">. In total, 256 of the 10 m quadrats (2.56 ha), 64 of the 20 m quadrats (2.56 ha), and 12 of the 50 m quadrats (3 ha) were removed due to illumination </w:t>
      </w:r>
      <w:commentRangeStart w:id="54"/>
      <w:r>
        <w:t>interference</w:t>
      </w:r>
      <w:commentRangeEnd w:id="54"/>
      <w:r w:rsidR="001346E2">
        <w:rPr>
          <w:rStyle w:val="CommentReference"/>
          <w:sz w:val="24"/>
          <w:szCs w:val="24"/>
        </w:rPr>
        <w:commentReference w:id="54"/>
      </w:r>
      <w:r>
        <w:t>.</w:t>
      </w:r>
      <w:commentRangeEnd w:id="53"/>
      <w:r w:rsidR="001346E2">
        <w:rPr>
          <w:rStyle w:val="CommentReference"/>
          <w:sz w:val="24"/>
          <w:szCs w:val="24"/>
        </w:rPr>
        <w:commentReference w:id="53"/>
      </w:r>
    </w:p>
    <w:p w14:paraId="59308947" w14:textId="409AC1D5" w:rsidR="008A0DF6" w:rsidRDefault="008A0DF6" w:rsidP="008A0DF6">
      <w:pPr>
        <w:pStyle w:val="NormalWeb"/>
      </w:pPr>
      <w:commentRangeStart w:id="55"/>
      <w:r>
        <w:t>Spectral data were resampled from approximately 2 nm to 5 nm wavebands to reduce data dimensionality and computational demand</w:t>
      </w:r>
      <w:commentRangeEnd w:id="55"/>
      <w:r w:rsidR="001346E2">
        <w:rPr>
          <w:rStyle w:val="CommentReference"/>
          <w:sz w:val="24"/>
          <w:szCs w:val="24"/>
        </w:rPr>
        <w:commentReference w:id="55"/>
      </w:r>
      <w:commentRangeStart w:id="56"/>
      <w:r>
        <w:t xml:space="preserve">. </w:t>
      </w:r>
      <w:ins w:id="57" w:author="Dawn Lemke" w:date="2026-04-07T12:55:00Z" w16du:dateUtc="2026-04-07T17:55:00Z">
        <w:r w:rsidR="001346E2">
          <w:t xml:space="preserve">Shadow masking </w:t>
        </w:r>
      </w:ins>
      <w:commentRangeEnd w:id="56"/>
      <w:r w:rsidR="001346E2">
        <w:rPr>
          <w:rStyle w:val="CommentReference"/>
          <w:sz w:val="24"/>
          <w:szCs w:val="24"/>
        </w:rPr>
        <w:commentReference w:id="56"/>
      </w:r>
      <w:ins w:id="58" w:author="Dawn Lemke" w:date="2026-04-07T12:55:00Z" w16du:dateUtc="2026-04-07T17:55:00Z">
        <w:r w:rsidR="001346E2">
          <w:t xml:space="preserve">with undertaken.. </w:t>
        </w:r>
      </w:ins>
      <w:r>
        <w:t xml:space="preserve">An area under the curve (AUC) analysis was conducted to determine the optimal waveband and reflectance threshold for shadow masking. Shadowed and sunlit pixels were sampled across the study area and used as input to the analysis, which was implemented using the </w:t>
      </w:r>
      <w:r>
        <w:rPr>
          <w:rStyle w:val="Emphasis"/>
        </w:rPr>
        <w:t>pROC()</w:t>
      </w:r>
      <w:r>
        <w:t xml:space="preserve"> package in R. </w:t>
      </w:r>
      <w:commentRangeStart w:id="59"/>
      <w:r>
        <w:t xml:space="preserve">The selected waveband and threshold corresponded to the highest separability between shadowed and illuminated pixels and were </w:t>
      </w:r>
      <w:r w:rsidR="00A31D91">
        <w:t>selected and</w:t>
      </w:r>
      <w:r>
        <w:t xml:space="preserve"> applied during spectral heterogeneity calculations.</w:t>
      </w:r>
      <w:commentRangeEnd w:id="59"/>
      <w:r w:rsidR="001346E2">
        <w:rPr>
          <w:rStyle w:val="CommentReference"/>
          <w:sz w:val="24"/>
          <w:szCs w:val="24"/>
        </w:rPr>
        <w:commentReference w:id="59"/>
      </w:r>
    </w:p>
    <w:p w14:paraId="360F4807" w14:textId="3624D24A" w:rsidR="008A0DF6" w:rsidRDefault="008A0DF6" w:rsidP="008A0DF6">
      <w:pPr>
        <w:pStyle w:val="NormalWeb"/>
      </w:pPr>
      <w:r>
        <w:t>Spectral heterogeneity was quantified using an entropy</w:t>
      </w:r>
      <w:r w:rsidR="00A31D91">
        <w:t xml:space="preserve"> </w:t>
      </w:r>
      <w:r>
        <w:t xml:space="preserve">based metric derived from pairwise spectral angle calculations. For each quadrat, 2,000 </w:t>
      </w:r>
      <w:ins w:id="60" w:author="Dawn Lemke" w:date="2026-04-07T12:58:00Z" w16du:dateUtc="2026-04-07T17:58:00Z">
        <w:r w:rsidR="0015116A">
          <w:t xml:space="preserve">illuminated </w:t>
        </w:r>
      </w:ins>
      <w:r>
        <w:t xml:space="preserve">pixels were randomly sampled, and pairwise spectral angles were computed among sampled pixels. Entropy was then calculated from the distribution of these spectral angles to represent within-quadrat spectral variability. </w:t>
      </w:r>
      <w:commentRangeStart w:id="61"/>
      <w:r>
        <w:t xml:space="preserve">A shadow masking condition, based on the previously derived threshold, was incorporated into the processing workflow to exclude shadowed pixels from the analysis. </w:t>
      </w:r>
      <w:commentRangeEnd w:id="61"/>
      <w:r w:rsidR="0015116A">
        <w:rPr>
          <w:rStyle w:val="CommentReference"/>
          <w:sz w:val="24"/>
          <w:szCs w:val="24"/>
        </w:rPr>
        <w:commentReference w:id="61"/>
      </w:r>
      <w:r>
        <w:t xml:space="preserve">All spectral processing and calculations were conducted using the </w:t>
      </w:r>
      <w:r>
        <w:rPr>
          <w:rStyle w:val="Emphasis"/>
        </w:rPr>
        <w:t>terra()</w:t>
      </w:r>
      <w:r>
        <w:t xml:space="preserve"> package in R.</w:t>
      </w:r>
    </w:p>
    <w:p w14:paraId="034B0937" w14:textId="7A5A2578" w:rsidR="008A0DF6" w:rsidRDefault="008A0DF6" w:rsidP="008A0DF6">
      <w:pPr>
        <w:pStyle w:val="NormalWeb"/>
      </w:pPr>
      <w:r>
        <w:t xml:space="preserve">Species diversity metrics were derived from the forest census data after filtering to retain upper canopy individuals. Trees were classified as upper canopy if they had a canopy position index of 4 or 5 or a diameter at breast height greater than 200 mm, </w:t>
      </w:r>
      <w:commentRangeStart w:id="62"/>
      <w:r>
        <w:t xml:space="preserve">resulting in 4,519 individuals representing </w:t>
      </w:r>
      <w:commentRangeStart w:id="63"/>
      <w:r>
        <w:t>51 species.</w:t>
      </w:r>
      <w:commentRangeEnd w:id="62"/>
      <w:r w:rsidR="0015116A">
        <w:rPr>
          <w:rStyle w:val="CommentReference"/>
          <w:sz w:val="24"/>
          <w:szCs w:val="24"/>
        </w:rPr>
        <w:commentReference w:id="62"/>
      </w:r>
      <w:r>
        <w:t xml:space="preserve"> </w:t>
      </w:r>
      <w:commentRangeEnd w:id="63"/>
      <w:r w:rsidR="00A31D91">
        <w:rPr>
          <w:rStyle w:val="CommentReference"/>
          <w:sz w:val="24"/>
          <w:szCs w:val="24"/>
        </w:rPr>
        <w:commentReference w:id="63"/>
      </w:r>
      <w:commentRangeStart w:id="64"/>
      <w:r>
        <w:t>Canopy area for each tree was estimated as a function of diameter and species</w:t>
      </w:r>
      <w:r w:rsidR="00A31D91">
        <w:t xml:space="preserve"> </w:t>
      </w:r>
      <w:r>
        <w:t xml:space="preserve">specific allometry. </w:t>
      </w:r>
      <w:commentRangeEnd w:id="64"/>
      <w:r w:rsidR="0015116A">
        <w:rPr>
          <w:rStyle w:val="CommentReference"/>
          <w:sz w:val="24"/>
          <w:szCs w:val="24"/>
        </w:rPr>
        <w:commentReference w:id="64"/>
      </w:r>
      <w:r>
        <w:t xml:space="preserve">A circular moving window with a 20 m radius was then applied across the study area to determine species presence and calculate diversity metrics at a 1 m spatial resolution. This process produced raster layers representing three diversity indices: </w:t>
      </w:r>
      <w:commentRangeStart w:id="65"/>
      <w:r>
        <w:t>Shannon’s species diversity, Faith’s phylogenetic diversity, and abundance-weighted Faith’s phylogenetic diversity</w:t>
      </w:r>
      <w:commentRangeEnd w:id="65"/>
      <w:r w:rsidR="0015116A">
        <w:rPr>
          <w:rStyle w:val="CommentReference"/>
          <w:sz w:val="24"/>
          <w:szCs w:val="24"/>
        </w:rPr>
        <w:commentReference w:id="65"/>
      </w:r>
      <w:r>
        <w:t>. Shannon’s index quantified both species richness and evenness, while Faith’s phylogenetic diversity measured the total evolutionary branch length</w:t>
      </w:r>
      <w:r w:rsidR="00A31D91">
        <w:t xml:space="preserve"> as a measure of time</w:t>
      </w:r>
      <w:r>
        <w:t xml:space="preserve"> connecting species within a given area. The abundance-weighted variant incorporated species abundance into the phylogenetic framework.</w:t>
      </w:r>
    </w:p>
    <w:p w14:paraId="6F5C569D" w14:textId="1ACB56F7" w:rsidR="00A31D91" w:rsidRDefault="00A31D91" w:rsidP="008A0DF6">
      <w:pPr>
        <w:pStyle w:val="NormalWeb"/>
      </w:pPr>
      <w:commentRangeStart w:id="66"/>
      <w:r>
        <w:lastRenderedPageBreak/>
        <w:t>Analysis:</w:t>
      </w:r>
    </w:p>
    <w:p w14:paraId="70AD4032" w14:textId="4EC7273D" w:rsidR="008A0DF6" w:rsidRDefault="008A0DF6" w:rsidP="008A0DF6">
      <w:pPr>
        <w:pStyle w:val="NormalWeb"/>
      </w:pPr>
      <w:r>
        <w:t xml:space="preserve">Analyses focused on characterizing patterns of spectral variability and their relationship to biodiversity metrics. Spectral variation was evaluated both within and among quadrats to assess scale-dependent patterns. Relationships among different spectral heterogeneity metrics were examined to identify areas of agreement and divergence, and to evaluate the influence of topographic or environmental gradients on spatial patterns. Associations between spectral heterogeneity and phylogenetic diversity were assessed using </w:t>
      </w:r>
      <w:r w:rsidR="00A31D91">
        <w:t>regression-based</w:t>
      </w:r>
      <w:r>
        <w:t xml:space="preserve"> approaches. Additional analyses explored unexplained variation by incorporating other spatially contiguous datasets available for the Paint Rock Forest Dynamics Plot.</w:t>
      </w:r>
      <w:commentRangeEnd w:id="66"/>
      <w:r w:rsidR="0015116A">
        <w:rPr>
          <w:rStyle w:val="CommentReference"/>
          <w:sz w:val="24"/>
          <w:szCs w:val="24"/>
        </w:rPr>
        <w:commentReference w:id="66"/>
      </w:r>
    </w:p>
    <w:p w14:paraId="75C91DE3" w14:textId="77777777" w:rsidR="003A1300" w:rsidRDefault="003A1300" w:rsidP="003A1300">
      <w:pPr>
        <w:pStyle w:val="NormalWeb"/>
        <w:ind w:left="720"/>
      </w:pPr>
    </w:p>
    <w:p w14:paraId="31AC4BE9" w14:textId="77777777" w:rsidR="00F24A2A" w:rsidRDefault="00F24A2A" w:rsidP="00D346D4">
      <w:pPr>
        <w:pStyle w:val="NormalWeb"/>
      </w:pPr>
    </w:p>
    <w:p w14:paraId="6C16A696" w14:textId="77777777" w:rsidR="00F24A2A" w:rsidRDefault="00F24A2A" w:rsidP="00D346D4">
      <w:pPr>
        <w:pStyle w:val="NormalWeb"/>
      </w:pPr>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wn Lemke" w:date="2026-04-07T12:37:00Z" w:initials="DL">
    <w:p w14:paraId="3685A5BE" w14:textId="77777777" w:rsidR="00D3602C" w:rsidRDefault="00D3602C" w:rsidP="00D3602C">
      <w:pPr>
        <w:pStyle w:val="CommentText"/>
      </w:pPr>
      <w:r>
        <w:rPr>
          <w:rStyle w:val="CommentReference"/>
        </w:rPr>
        <w:annotationRef/>
      </w:r>
      <w:r>
        <w:t>What is important for your study?</w:t>
      </w:r>
    </w:p>
  </w:comment>
  <w:comment w:id="1" w:author="Dawn Lemke" w:date="2026-04-07T12:36:00Z" w:initials="DL">
    <w:p w14:paraId="356D7196" w14:textId="77777777" w:rsidR="00D3602C" w:rsidRDefault="00D3602C" w:rsidP="00D3602C">
      <w:pPr>
        <w:pStyle w:val="CommentText"/>
      </w:pPr>
      <w:r>
        <w:rPr>
          <w:rStyle w:val="CommentReference"/>
        </w:rPr>
        <w:annotationRef/>
      </w:r>
      <w:r>
        <w:t>Here just state your study area</w:t>
      </w:r>
    </w:p>
  </w:comment>
  <w:comment w:id="5" w:author="Evan Tenorio" w:date="2026-04-06T16:36:00Z" w:initials="P">
    <w:p w14:paraId="1E03F12F" w14:textId="6E881E00" w:rsidR="00A31D91" w:rsidRDefault="00A31D91">
      <w:pPr>
        <w:pStyle w:val="CommentText"/>
      </w:pPr>
      <w:r>
        <w:rPr>
          <w:rStyle w:val="CommentReference"/>
        </w:rPr>
        <w:annotationRef/>
      </w:r>
      <w:r>
        <w:t>Need to update with better source.</w:t>
      </w:r>
    </w:p>
  </w:comment>
  <w:comment w:id="6" w:author="Dawn Lemke" w:date="2026-04-07T12:38:00Z" w:initials="DL">
    <w:p w14:paraId="5805043E" w14:textId="77777777" w:rsidR="00D3602C" w:rsidRDefault="00D3602C" w:rsidP="00D3602C">
      <w:pPr>
        <w:pStyle w:val="CommentText"/>
      </w:pPr>
      <w:r>
        <w:rPr>
          <w:rStyle w:val="CommentReference"/>
        </w:rPr>
        <w:annotationRef/>
      </w:r>
      <w:r>
        <w:t>Here make it relevant - the exact amounts don’t matter - generally what climate</w:t>
      </w:r>
    </w:p>
  </w:comment>
  <w:comment w:id="7" w:author="Dawn Lemke" w:date="2026-04-07T12:39:00Z" w:initials="DL">
    <w:p w14:paraId="2F06F450" w14:textId="77777777" w:rsidR="00D3602C" w:rsidRDefault="00D3602C" w:rsidP="00D3602C">
      <w:pPr>
        <w:pStyle w:val="CommentText"/>
      </w:pPr>
      <w:r>
        <w:rPr>
          <w:rStyle w:val="CommentReference"/>
        </w:rPr>
        <w:annotationRef/>
      </w:r>
      <w:r>
        <w:t>You could be more specific here</w:t>
      </w:r>
    </w:p>
  </w:comment>
  <w:comment w:id="35" w:author="Evan Tenorio [2]" w:date="2026-04-02T14:33:00Z" w:initials="ET">
    <w:p w14:paraId="0425080F" w14:textId="77777777" w:rsidR="00FB35EE" w:rsidRDefault="00FB35EE" w:rsidP="00FB35EE">
      <w:pPr>
        <w:pStyle w:val="CommentText"/>
      </w:pPr>
      <w:r>
        <w:rPr>
          <w:rStyle w:val="CommentReference"/>
        </w:rPr>
        <w:annotationRef/>
      </w:r>
      <w:r>
        <w:t>Will Update</w:t>
      </w:r>
    </w:p>
  </w:comment>
  <w:comment w:id="43" w:author="Dawn Lemke" w:date="2026-04-07T12:44:00Z" w:initials="DL">
    <w:p w14:paraId="34688CA6" w14:textId="77777777" w:rsidR="00D3602C" w:rsidRDefault="00D3602C" w:rsidP="00D3602C">
      <w:pPr>
        <w:pStyle w:val="CommentText"/>
      </w:pPr>
      <w:r>
        <w:rPr>
          <w:rStyle w:val="CommentReference"/>
        </w:rPr>
        <w:annotationRef/>
      </w:r>
      <w:r>
        <w:t>I think some of this needs references</w:t>
      </w:r>
    </w:p>
  </w:comment>
  <w:comment w:id="44" w:author="Dawn Lemke" w:date="2026-04-07T12:45:00Z" w:initials="DL">
    <w:p w14:paraId="51D720AF" w14:textId="77777777" w:rsidR="00D3602C" w:rsidRDefault="00D3602C" w:rsidP="00D3602C">
      <w:pPr>
        <w:pStyle w:val="CommentText"/>
      </w:pPr>
      <w:r>
        <w:rPr>
          <w:rStyle w:val="CommentReference"/>
        </w:rPr>
        <w:annotationRef/>
      </w:r>
      <w:r>
        <w:t>??</w:t>
      </w:r>
    </w:p>
  </w:comment>
  <w:comment w:id="45" w:author="Dawn Lemke" w:date="2026-04-07T12:46:00Z" w:initials="DL">
    <w:p w14:paraId="1B0D4FA3" w14:textId="77777777" w:rsidR="00D3602C" w:rsidRDefault="00D3602C" w:rsidP="00D3602C">
      <w:pPr>
        <w:pStyle w:val="CommentText"/>
      </w:pPr>
      <w:r>
        <w:rPr>
          <w:rStyle w:val="CommentReference"/>
        </w:rPr>
        <w:annotationRef/>
      </w:r>
      <w:r>
        <w:t>If Peters name is on the paper then this does not need to be here - you should just ref Headwall in the correct place</w:t>
      </w:r>
    </w:p>
  </w:comment>
  <w:comment w:id="46" w:author="Dawn Lemke" w:date="2026-04-07T12:47:00Z" w:initials="DL">
    <w:p w14:paraId="246F6D95" w14:textId="77777777" w:rsidR="001346E2" w:rsidRDefault="001346E2" w:rsidP="001346E2">
      <w:pPr>
        <w:pStyle w:val="CommentText"/>
      </w:pPr>
      <w:r>
        <w:rPr>
          <w:rStyle w:val="CommentReference"/>
        </w:rPr>
        <w:annotationRef/>
      </w:r>
      <w:r>
        <w:t>Why?</w:t>
      </w:r>
    </w:p>
  </w:comment>
  <w:comment w:id="47" w:author="Dawn Lemke" w:date="2026-04-07T12:47:00Z" w:initials="DL">
    <w:p w14:paraId="5FC39DA5" w14:textId="77777777" w:rsidR="001346E2" w:rsidRDefault="001346E2" w:rsidP="001346E2">
      <w:pPr>
        <w:pStyle w:val="CommentText"/>
      </w:pPr>
      <w:r>
        <w:rPr>
          <w:rStyle w:val="CommentReference"/>
        </w:rPr>
        <w:annotationRef/>
      </w:r>
      <w:r>
        <w:t>This needs to be defined above</w:t>
      </w:r>
    </w:p>
  </w:comment>
  <w:comment w:id="48" w:author="Dawn Lemke" w:date="2026-04-07T12:48:00Z" w:initials="DL">
    <w:p w14:paraId="56E5417A" w14:textId="77777777" w:rsidR="001346E2" w:rsidRDefault="001346E2" w:rsidP="001346E2">
      <w:pPr>
        <w:pStyle w:val="CommentText"/>
      </w:pPr>
      <w:r>
        <w:rPr>
          <w:rStyle w:val="CommentReference"/>
        </w:rPr>
        <w:annotationRef/>
      </w:r>
      <w:r>
        <w:t>Not sure what this means</w:t>
      </w:r>
    </w:p>
  </w:comment>
  <w:comment w:id="49" w:author="Dawn Lemke" w:date="2026-04-07T12:50:00Z" w:initials="DL">
    <w:p w14:paraId="6B660EE5" w14:textId="77777777" w:rsidR="001346E2" w:rsidRDefault="001346E2" w:rsidP="001346E2">
      <w:pPr>
        <w:pStyle w:val="CommentText"/>
      </w:pPr>
      <w:r>
        <w:rPr>
          <w:rStyle w:val="CommentReference"/>
        </w:rPr>
        <w:annotationRef/>
      </w:r>
      <w:r>
        <w:t>Not sure on how you ref this</w:t>
      </w:r>
    </w:p>
  </w:comment>
  <w:comment w:id="50" w:author="Dawn Lemke" w:date="2026-04-07T12:51:00Z" w:initials="DL">
    <w:p w14:paraId="631808DD" w14:textId="77777777" w:rsidR="001346E2" w:rsidRDefault="001346E2" w:rsidP="001346E2">
      <w:pPr>
        <w:pStyle w:val="CommentText"/>
      </w:pPr>
      <w:r>
        <w:rPr>
          <w:rStyle w:val="CommentReference"/>
        </w:rPr>
        <w:annotationRef/>
      </w:r>
      <w:r>
        <w:t>What is a tile, and image, a quadrat</w:t>
      </w:r>
    </w:p>
  </w:comment>
  <w:comment w:id="51" w:author="Dawn Lemke" w:date="2026-04-07T12:50:00Z" w:initials="DL">
    <w:p w14:paraId="0023DC86" w14:textId="77777777" w:rsidR="001346E2" w:rsidRDefault="001346E2" w:rsidP="001346E2">
      <w:pPr>
        <w:pStyle w:val="CommentText"/>
      </w:pPr>
      <w:r>
        <w:rPr>
          <w:rStyle w:val="CommentReference"/>
        </w:rPr>
        <w:annotationRef/>
      </w:r>
      <w:r>
        <w:t>What do you mean by this</w:t>
      </w:r>
    </w:p>
  </w:comment>
  <w:comment w:id="52" w:author="Dawn Lemke" w:date="2026-04-07T12:51:00Z" w:initials="DL">
    <w:p w14:paraId="32550124" w14:textId="77777777" w:rsidR="001346E2" w:rsidRDefault="001346E2" w:rsidP="001346E2">
      <w:pPr>
        <w:pStyle w:val="CommentText"/>
      </w:pPr>
      <w:r>
        <w:rPr>
          <w:rStyle w:val="CommentReference"/>
        </w:rPr>
        <w:annotationRef/>
      </w:r>
      <w:r>
        <w:t>How was this determined</w:t>
      </w:r>
    </w:p>
  </w:comment>
  <w:comment w:id="54" w:author="Dawn Lemke" w:date="2026-04-07T12:52:00Z" w:initials="DL">
    <w:p w14:paraId="6871DC7F" w14:textId="77777777" w:rsidR="001346E2" w:rsidRDefault="001346E2" w:rsidP="001346E2">
      <w:pPr>
        <w:pStyle w:val="CommentText"/>
      </w:pPr>
      <w:r>
        <w:rPr>
          <w:rStyle w:val="CommentReference"/>
        </w:rPr>
        <w:annotationRef/>
      </w:r>
      <w:r>
        <w:t>How much was kept?</w:t>
      </w:r>
    </w:p>
  </w:comment>
  <w:comment w:id="53" w:author="Dawn Lemke" w:date="2026-04-07T12:52:00Z" w:initials="DL">
    <w:p w14:paraId="162FC10C" w14:textId="77777777" w:rsidR="001346E2" w:rsidRDefault="001346E2" w:rsidP="001346E2">
      <w:pPr>
        <w:pStyle w:val="CommentText"/>
      </w:pPr>
      <w:r>
        <w:rPr>
          <w:rStyle w:val="CommentReference"/>
        </w:rPr>
        <w:annotationRef/>
      </w:r>
      <w:r>
        <w:t>This is the first time you are talking about different sized quads</w:t>
      </w:r>
    </w:p>
  </w:comment>
  <w:comment w:id="55" w:author="Dawn Lemke" w:date="2026-04-07T12:52:00Z" w:initials="DL">
    <w:p w14:paraId="6D6EE741" w14:textId="77777777" w:rsidR="001346E2" w:rsidRDefault="001346E2" w:rsidP="001346E2">
      <w:pPr>
        <w:pStyle w:val="CommentText"/>
      </w:pPr>
      <w:r>
        <w:rPr>
          <w:rStyle w:val="CommentReference"/>
        </w:rPr>
        <w:annotationRef/>
      </w:r>
      <w:r>
        <w:t>What package, what settings</w:t>
      </w:r>
    </w:p>
  </w:comment>
  <w:comment w:id="56" w:author="Dawn Lemke" w:date="2026-04-07T12:56:00Z" w:initials="DL">
    <w:p w14:paraId="2450E7A1" w14:textId="77777777" w:rsidR="001346E2" w:rsidRDefault="001346E2" w:rsidP="001346E2">
      <w:pPr>
        <w:pStyle w:val="CommentText"/>
      </w:pPr>
      <w:r>
        <w:rPr>
          <w:rStyle w:val="CommentReference"/>
        </w:rPr>
        <w:annotationRef/>
      </w:r>
      <w:r>
        <w:t>Start with what the analysis  is about</w:t>
      </w:r>
    </w:p>
  </w:comment>
  <w:comment w:id="59" w:author="Dawn Lemke" w:date="2026-04-07T12:57:00Z" w:initials="DL">
    <w:p w14:paraId="4773FD83" w14:textId="77777777" w:rsidR="001346E2" w:rsidRDefault="001346E2" w:rsidP="001346E2">
      <w:pPr>
        <w:pStyle w:val="CommentText"/>
      </w:pPr>
      <w:r>
        <w:rPr>
          <w:rStyle w:val="CommentReference"/>
        </w:rPr>
        <w:annotationRef/>
      </w:r>
      <w:r>
        <w:t xml:space="preserve">I feel like you said this in a different way in the second sentence </w:t>
      </w:r>
    </w:p>
  </w:comment>
  <w:comment w:id="61" w:author="Dawn Lemke" w:date="2026-04-07T12:58:00Z" w:initials="DL">
    <w:p w14:paraId="0D1DDF75" w14:textId="77777777" w:rsidR="0015116A" w:rsidRDefault="0015116A" w:rsidP="0015116A">
      <w:pPr>
        <w:pStyle w:val="CommentText"/>
      </w:pPr>
      <w:r>
        <w:rPr>
          <w:rStyle w:val="CommentReference"/>
        </w:rPr>
        <w:annotationRef/>
      </w:r>
      <w:r>
        <w:t xml:space="preserve">Isn't this the prior paragraph </w:t>
      </w:r>
    </w:p>
  </w:comment>
  <w:comment w:id="62" w:author="Dawn Lemke" w:date="2026-04-07T12:59:00Z" w:initials="DL">
    <w:p w14:paraId="147AFED5" w14:textId="77777777" w:rsidR="0015116A" w:rsidRDefault="0015116A" w:rsidP="0015116A">
      <w:pPr>
        <w:pStyle w:val="CommentText"/>
      </w:pPr>
      <w:r>
        <w:rPr>
          <w:rStyle w:val="CommentReference"/>
        </w:rPr>
        <w:annotationRef/>
      </w:r>
      <w:r>
        <w:t>Is this in the full plot, or where you have data?</w:t>
      </w:r>
    </w:p>
  </w:comment>
  <w:comment w:id="63" w:author="Evan Tenorio" w:date="2026-04-06T16:31:00Z" w:initials="P">
    <w:p w14:paraId="2B28A7B7" w14:textId="332F0B82" w:rsidR="00A31D91" w:rsidRDefault="00A31D91">
      <w:pPr>
        <w:pStyle w:val="CommentText"/>
      </w:pPr>
      <w:r>
        <w:rPr>
          <w:rStyle w:val="CommentReference"/>
        </w:rPr>
        <w:annotationRef/>
      </w:r>
      <w:r>
        <w:t>Insert Chart of # of individuals per species</w:t>
      </w:r>
    </w:p>
  </w:comment>
  <w:comment w:id="64" w:author="Dawn Lemke" w:date="2026-04-07T13:00:00Z" w:initials="DL">
    <w:p w14:paraId="46F88752" w14:textId="77777777" w:rsidR="0015116A" w:rsidRDefault="0015116A" w:rsidP="0015116A">
      <w:pPr>
        <w:pStyle w:val="CommentText"/>
      </w:pPr>
      <w:r>
        <w:rPr>
          <w:rStyle w:val="CommentReference"/>
        </w:rPr>
        <w:annotationRef/>
      </w:r>
      <w:r>
        <w:t>You are going to need ref on these</w:t>
      </w:r>
    </w:p>
  </w:comment>
  <w:comment w:id="65" w:author="Dawn Lemke" w:date="2026-04-07T13:00:00Z" w:initials="DL">
    <w:p w14:paraId="724F17C5" w14:textId="77777777" w:rsidR="0015116A" w:rsidRDefault="0015116A" w:rsidP="0015116A">
      <w:pPr>
        <w:pStyle w:val="CommentText"/>
      </w:pPr>
      <w:r>
        <w:rPr>
          <w:rStyle w:val="CommentReference"/>
        </w:rPr>
        <w:annotationRef/>
      </w:r>
      <w:r>
        <w:t>refs</w:t>
      </w:r>
    </w:p>
  </w:comment>
  <w:comment w:id="66" w:author="Dawn Lemke" w:date="2026-04-07T13:01:00Z" w:initials="DL">
    <w:p w14:paraId="14825505" w14:textId="77777777" w:rsidR="0015116A" w:rsidRDefault="0015116A" w:rsidP="0015116A">
      <w:pPr>
        <w:pStyle w:val="CommentText"/>
      </w:pPr>
      <w:r>
        <w:rPr>
          <w:rStyle w:val="CommentReference"/>
        </w:rPr>
        <w:annotationRef/>
      </w:r>
      <w:r>
        <w:t>Needs more details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85A5BE" w15:done="0"/>
  <w15:commentEx w15:paraId="356D7196" w15:done="0"/>
  <w15:commentEx w15:paraId="1E03F12F" w15:done="0"/>
  <w15:commentEx w15:paraId="5805043E" w15:paraIdParent="1E03F12F" w15:done="0"/>
  <w15:commentEx w15:paraId="2F06F450" w15:done="0"/>
  <w15:commentEx w15:paraId="0425080F" w15:done="0"/>
  <w15:commentEx w15:paraId="34688CA6" w15:done="0"/>
  <w15:commentEx w15:paraId="51D720AF" w15:done="0"/>
  <w15:commentEx w15:paraId="1B0D4FA3" w15:done="0"/>
  <w15:commentEx w15:paraId="246F6D95" w15:done="0"/>
  <w15:commentEx w15:paraId="5FC39DA5" w15:done="0"/>
  <w15:commentEx w15:paraId="56E5417A" w15:done="0"/>
  <w15:commentEx w15:paraId="6B660EE5" w15:done="0"/>
  <w15:commentEx w15:paraId="631808DD" w15:done="0"/>
  <w15:commentEx w15:paraId="0023DC86" w15:done="0"/>
  <w15:commentEx w15:paraId="32550124" w15:done="0"/>
  <w15:commentEx w15:paraId="6871DC7F" w15:done="0"/>
  <w15:commentEx w15:paraId="162FC10C" w15:done="0"/>
  <w15:commentEx w15:paraId="6D6EE741" w15:done="0"/>
  <w15:commentEx w15:paraId="2450E7A1" w15:done="0"/>
  <w15:commentEx w15:paraId="4773FD83" w15:done="0"/>
  <w15:commentEx w15:paraId="0D1DDF75" w15:done="0"/>
  <w15:commentEx w15:paraId="147AFED5" w15:done="0"/>
  <w15:commentEx w15:paraId="2B28A7B7" w15:done="0"/>
  <w15:commentEx w15:paraId="46F88752" w15:done="0"/>
  <w15:commentEx w15:paraId="724F17C5" w15:done="0"/>
  <w15:commentEx w15:paraId="148255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D10969" w16cex:dateUtc="2026-04-07T17:37:00Z"/>
  <w16cex:commentExtensible w16cex:durableId="4364D774" w16cex:dateUtc="2026-04-07T17:36:00Z"/>
  <w16cex:commentExtensible w16cex:durableId="07974BB3" w16cex:dateUtc="2026-04-07T17:38:00Z"/>
  <w16cex:commentExtensible w16cex:durableId="51C30DB5" w16cex:dateUtc="2026-04-07T17:39:00Z"/>
  <w16cex:commentExtensible w16cex:durableId="2DC0C9E1" w16cex:dateUtc="2026-04-02T19:33:00Z"/>
  <w16cex:commentExtensible w16cex:durableId="7BCE0744" w16cex:dateUtc="2026-04-07T17:44:00Z"/>
  <w16cex:commentExtensible w16cex:durableId="7F252CED" w16cex:dateUtc="2026-04-07T17:45:00Z"/>
  <w16cex:commentExtensible w16cex:durableId="601E81FE" w16cex:dateUtc="2026-04-07T17:46:00Z"/>
  <w16cex:commentExtensible w16cex:durableId="679A1541" w16cex:dateUtc="2026-04-07T17:47:00Z"/>
  <w16cex:commentExtensible w16cex:durableId="5E9396BE" w16cex:dateUtc="2026-04-07T17:47:00Z"/>
  <w16cex:commentExtensible w16cex:durableId="33DEBB97" w16cex:dateUtc="2026-04-07T17:48:00Z"/>
  <w16cex:commentExtensible w16cex:durableId="1CCD20CE" w16cex:dateUtc="2026-04-07T17:50:00Z"/>
  <w16cex:commentExtensible w16cex:durableId="5469842E" w16cex:dateUtc="2026-04-07T17:51:00Z"/>
  <w16cex:commentExtensible w16cex:durableId="0AA29719" w16cex:dateUtc="2026-04-07T17:50:00Z"/>
  <w16cex:commentExtensible w16cex:durableId="5CCE9553" w16cex:dateUtc="2026-04-07T17:51:00Z"/>
  <w16cex:commentExtensible w16cex:durableId="35424D92" w16cex:dateUtc="2026-04-07T17:52:00Z"/>
  <w16cex:commentExtensible w16cex:durableId="5390EB4B" w16cex:dateUtc="2026-04-07T17:52:00Z"/>
  <w16cex:commentExtensible w16cex:durableId="562A7C1F" w16cex:dateUtc="2026-04-07T17:52:00Z"/>
  <w16cex:commentExtensible w16cex:durableId="3CC01102" w16cex:dateUtc="2026-04-07T17:56:00Z"/>
  <w16cex:commentExtensible w16cex:durableId="755D26D2" w16cex:dateUtc="2026-04-07T17:57:00Z"/>
  <w16cex:commentExtensible w16cex:durableId="5CEA9D78" w16cex:dateUtc="2026-04-07T17:58:00Z"/>
  <w16cex:commentExtensible w16cex:durableId="760827F6" w16cex:dateUtc="2026-04-07T17:59:00Z"/>
  <w16cex:commentExtensible w16cex:durableId="76E1F6A7" w16cex:dateUtc="2026-04-07T18:00:00Z"/>
  <w16cex:commentExtensible w16cex:durableId="7A83D2EA" w16cex:dateUtc="2026-04-07T18:00:00Z"/>
  <w16cex:commentExtensible w16cex:durableId="37AF8D22" w16cex:dateUtc="2026-04-07T1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85A5BE" w16cid:durableId="08D10969"/>
  <w16cid:commentId w16cid:paraId="356D7196" w16cid:durableId="4364D774"/>
  <w16cid:commentId w16cid:paraId="1E03F12F" w16cid:durableId="2D7E5F75"/>
  <w16cid:commentId w16cid:paraId="5805043E" w16cid:durableId="07974BB3"/>
  <w16cid:commentId w16cid:paraId="2F06F450" w16cid:durableId="51C30DB5"/>
  <w16cid:commentId w16cid:paraId="0425080F" w16cid:durableId="2DC0C9E1"/>
  <w16cid:commentId w16cid:paraId="34688CA6" w16cid:durableId="7BCE0744"/>
  <w16cid:commentId w16cid:paraId="51D720AF" w16cid:durableId="7F252CED"/>
  <w16cid:commentId w16cid:paraId="1B0D4FA3" w16cid:durableId="601E81FE"/>
  <w16cid:commentId w16cid:paraId="246F6D95" w16cid:durableId="679A1541"/>
  <w16cid:commentId w16cid:paraId="5FC39DA5" w16cid:durableId="5E9396BE"/>
  <w16cid:commentId w16cid:paraId="56E5417A" w16cid:durableId="33DEBB97"/>
  <w16cid:commentId w16cid:paraId="6B660EE5" w16cid:durableId="1CCD20CE"/>
  <w16cid:commentId w16cid:paraId="631808DD" w16cid:durableId="5469842E"/>
  <w16cid:commentId w16cid:paraId="0023DC86" w16cid:durableId="0AA29719"/>
  <w16cid:commentId w16cid:paraId="32550124" w16cid:durableId="5CCE9553"/>
  <w16cid:commentId w16cid:paraId="6871DC7F" w16cid:durableId="35424D92"/>
  <w16cid:commentId w16cid:paraId="162FC10C" w16cid:durableId="5390EB4B"/>
  <w16cid:commentId w16cid:paraId="6D6EE741" w16cid:durableId="562A7C1F"/>
  <w16cid:commentId w16cid:paraId="2450E7A1" w16cid:durableId="3CC01102"/>
  <w16cid:commentId w16cid:paraId="4773FD83" w16cid:durableId="755D26D2"/>
  <w16cid:commentId w16cid:paraId="0D1DDF75" w16cid:durableId="5CEA9D78"/>
  <w16cid:commentId w16cid:paraId="147AFED5" w16cid:durableId="760827F6"/>
  <w16cid:commentId w16cid:paraId="2B28A7B7" w16cid:durableId="2D7E5E60"/>
  <w16cid:commentId w16cid:paraId="46F88752" w16cid:durableId="76E1F6A7"/>
  <w16cid:commentId w16cid:paraId="724F17C5" w16cid:durableId="7A83D2EA"/>
  <w16cid:commentId w16cid:paraId="14825505" w16cid:durableId="37AF8D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11A"/>
    <w:multiLevelType w:val="hybridMultilevel"/>
    <w:tmpl w:val="A56A69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729692766">
    <w:abstractNumId w:val="2"/>
  </w:num>
  <w:num w:numId="2" w16cid:durableId="468596848">
    <w:abstractNumId w:val="3"/>
  </w:num>
  <w:num w:numId="3" w16cid:durableId="330258008">
    <w:abstractNumId w:val="4"/>
  </w:num>
  <w:num w:numId="4" w16cid:durableId="2047564249">
    <w:abstractNumId w:val="1"/>
  </w:num>
  <w:num w:numId="5" w16cid:durableId="21291541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wn Lemke">
    <w15:presenceInfo w15:providerId="AD" w15:userId="S::dawn.lemke@aamu.edu::0a5cf3be-bccf-448e-8e47-a5c4f0ab2be6"/>
  </w15:person>
  <w15:person w15:author="Evan Tenorio">
    <w15:presenceInfo w15:providerId="None" w15:userId="Evan Tenorio"/>
  </w15:person>
  <w15:person w15:author="Evan Tenorio [2]">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8078C"/>
    <w:rsid w:val="0008397E"/>
    <w:rsid w:val="001346E2"/>
    <w:rsid w:val="00134AD8"/>
    <w:rsid w:val="0015116A"/>
    <w:rsid w:val="001B5AD7"/>
    <w:rsid w:val="00207B50"/>
    <w:rsid w:val="0030798B"/>
    <w:rsid w:val="00343F5E"/>
    <w:rsid w:val="00374092"/>
    <w:rsid w:val="003A1300"/>
    <w:rsid w:val="00512B0E"/>
    <w:rsid w:val="006334A8"/>
    <w:rsid w:val="006408E3"/>
    <w:rsid w:val="006A030D"/>
    <w:rsid w:val="00735D2F"/>
    <w:rsid w:val="007D16F5"/>
    <w:rsid w:val="00803518"/>
    <w:rsid w:val="0086797B"/>
    <w:rsid w:val="00891186"/>
    <w:rsid w:val="008A0DF6"/>
    <w:rsid w:val="009036B1"/>
    <w:rsid w:val="009A2075"/>
    <w:rsid w:val="00A31D91"/>
    <w:rsid w:val="00AA7A23"/>
    <w:rsid w:val="00B2594D"/>
    <w:rsid w:val="00BC01D4"/>
    <w:rsid w:val="00BF0C0B"/>
    <w:rsid w:val="00C36AC7"/>
    <w:rsid w:val="00C37B91"/>
    <w:rsid w:val="00C62EA8"/>
    <w:rsid w:val="00D31F58"/>
    <w:rsid w:val="00D346D4"/>
    <w:rsid w:val="00D3602C"/>
    <w:rsid w:val="00E3466B"/>
    <w:rsid w:val="00E47DAA"/>
    <w:rsid w:val="00E77C49"/>
    <w:rsid w:val="00F24A2A"/>
    <w:rsid w:val="00F6332E"/>
    <w:rsid w:val="00FB3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F1F0"/>
  <w15:chartTrackingRefBased/>
  <w15:docId w15:val="{E7210F31-718B-4E64-9EC7-B84C3184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 w:type="character" w:styleId="Emphasis">
    <w:name w:val="Emphasis"/>
    <w:basedOn w:val="DefaultParagraphFont"/>
    <w:uiPriority w:val="20"/>
    <w:qFormat/>
    <w:rsid w:val="008A0DF6"/>
    <w:rPr>
      <w:i/>
      <w:iCs/>
    </w:rPr>
  </w:style>
  <w:style w:type="paragraph" w:styleId="Revision">
    <w:name w:val="Revision"/>
    <w:hidden/>
    <w:uiPriority w:val="99"/>
    <w:semiHidden/>
    <w:rsid w:val="00D3602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731284">
      <w:bodyDiv w:val="1"/>
      <w:marLeft w:val="0"/>
      <w:marRight w:val="0"/>
      <w:marTop w:val="0"/>
      <w:marBottom w:val="0"/>
      <w:divBdr>
        <w:top w:val="none" w:sz="0" w:space="0" w:color="auto"/>
        <w:left w:val="none" w:sz="0" w:space="0" w:color="auto"/>
        <w:bottom w:val="none" w:sz="0" w:space="0" w:color="auto"/>
        <w:right w:val="none" w:sz="0" w:space="0" w:color="auto"/>
      </w:divBdr>
    </w:div>
    <w:div w:id="184944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6FD02C-080F-456D-BB9F-C105DF439D1A}">
  <ds:schemaRefs>
    <ds:schemaRef ds:uri="http://schemas.microsoft.com/office/2006/metadata/properties"/>
    <ds:schemaRef ds:uri="http://schemas.microsoft.com/office/infopath/2007/PartnerControls"/>
    <ds:schemaRef ds:uri="381ae226-ed8d-42b5-89e8-bafe2870bc59"/>
  </ds:schemaRefs>
</ds:datastoreItem>
</file>

<file path=customXml/itemProps3.xml><?xml version="1.0" encoding="utf-8"?>
<ds:datastoreItem xmlns:ds="http://schemas.openxmlformats.org/officeDocument/2006/customXml" ds:itemID="{E86C7B11-1CB1-4AE1-A9C4-289C54A953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1131</Words>
  <Characters>6428</Characters>
  <Application>Microsoft Office Word</Application>
  <DocSecurity>0</DocSecurity>
  <Lines>142</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Dawn Lemke</cp:lastModifiedBy>
  <cp:revision>2</cp:revision>
  <dcterms:created xsi:type="dcterms:W3CDTF">2026-04-07T19:23:00Z</dcterms:created>
  <dcterms:modified xsi:type="dcterms:W3CDTF">2026-04-07T19:23:00Z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y fmtid="{D5CDD505-2E9C-101B-9397-08002B2CF9AE}" pid="3" name="GrammarlyDocumentId">
    <vt:lpwstr>9d4048f5-ecbf-4a4b-b261-55a84eecdacf</vt:lpwstr>
  </property>
</Properties>
</file>