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E820584" w14:textId="77777777" w:rsidR="003143EB" w:rsidRPr="003143EB" w:rsidRDefault="003143EB" w:rsidP="003143EB">
      <w:pPr>
        <w:spacing w:before="100" w:beforeAutospacing="1" w:after="100" w:afterAutospacing="1" w:line="240" w:lineRule="auto"/>
        <w:outlineLvl w:val="1"/>
        <w:rPr>
          <w:rFonts w:ascii="Times New Roman" w:eastAsia="Times New Roman" w:hAnsi="Times New Roman" w:cs="Times New Roman"/>
          <w:b/>
          <w:bCs/>
          <w:sz w:val="36"/>
          <w:szCs w:val="36"/>
        </w:rPr>
      </w:pPr>
      <w:bookmarkStart w:id="0" w:name="_Hlk237448418"/>
      <w:r w:rsidRPr="003143EB">
        <w:rPr>
          <w:rFonts w:ascii="Times New Roman" w:eastAsia="Times New Roman" w:hAnsi="Times New Roman" w:cs="Times New Roman"/>
          <w:b/>
          <w:bCs/>
          <w:sz w:val="36"/>
          <w:szCs w:val="36"/>
        </w:rPr>
        <w:t>2. Methods</w:t>
      </w:r>
    </w:p>
    <w:p w14:paraId="4D1A61B5"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 Study Site and Forest Census Data</w:t>
      </w:r>
    </w:p>
    <w:p w14:paraId="082344E8"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This study was conducted in the Paint Rock Forest Dynamics Plot, a 20-ha forest located in Jackson County, Alabama, USA (Figure). The study area is a mixed hardwood–pine temperate deciduous forest that regenerated following logging during the late nineteenth and early twentieth centuries (Lemke et al. 2025). The forest contains a diverse canopy community, including </w:t>
      </w:r>
      <w:r w:rsidRPr="003143EB">
        <w:rPr>
          <w:rFonts w:ascii="Times New Roman" w:eastAsia="Times New Roman" w:hAnsi="Times New Roman" w:cs="Times New Roman"/>
          <w:i/>
          <w:iCs/>
          <w:sz w:val="24"/>
          <w:szCs w:val="24"/>
        </w:rPr>
        <w:t xml:space="preserve">Liriodendron </w:t>
      </w:r>
      <w:proofErr w:type="spellStart"/>
      <w:r w:rsidRPr="003143EB">
        <w:rPr>
          <w:rFonts w:ascii="Times New Roman" w:eastAsia="Times New Roman" w:hAnsi="Times New Roman" w:cs="Times New Roman"/>
          <w:i/>
          <w:iCs/>
          <w:sz w:val="24"/>
          <w:szCs w:val="24"/>
        </w:rPr>
        <w:t>tulipifera</w:t>
      </w:r>
      <w:proofErr w:type="spellEnd"/>
      <w:r w:rsidRPr="003143EB">
        <w:rPr>
          <w:rFonts w:ascii="Times New Roman" w:eastAsia="Times New Roman" w:hAnsi="Times New Roman" w:cs="Times New Roman"/>
          <w:sz w:val="24"/>
          <w:szCs w:val="24"/>
        </w:rPr>
        <w:t xml:space="preserve">, </w:t>
      </w:r>
      <w:r w:rsidRPr="003143EB">
        <w:rPr>
          <w:rFonts w:ascii="Times New Roman" w:eastAsia="Times New Roman" w:hAnsi="Times New Roman" w:cs="Times New Roman"/>
          <w:i/>
          <w:iCs/>
          <w:sz w:val="24"/>
          <w:szCs w:val="24"/>
        </w:rPr>
        <w:t xml:space="preserve">Liquidambar </w:t>
      </w:r>
      <w:proofErr w:type="spellStart"/>
      <w:r w:rsidRPr="003143EB">
        <w:rPr>
          <w:rFonts w:ascii="Times New Roman" w:eastAsia="Times New Roman" w:hAnsi="Times New Roman" w:cs="Times New Roman"/>
          <w:i/>
          <w:iCs/>
          <w:sz w:val="24"/>
          <w:szCs w:val="24"/>
        </w:rPr>
        <w:t>styraciflua</w:t>
      </w:r>
      <w:proofErr w:type="spellEnd"/>
      <w:r w:rsidRPr="003143EB">
        <w:rPr>
          <w:rFonts w:ascii="Times New Roman" w:eastAsia="Times New Roman" w:hAnsi="Times New Roman" w:cs="Times New Roman"/>
          <w:sz w:val="24"/>
          <w:szCs w:val="24"/>
        </w:rPr>
        <w:t xml:space="preserve">, </w:t>
      </w:r>
      <w:r w:rsidRPr="003143EB">
        <w:rPr>
          <w:rFonts w:ascii="Times New Roman" w:eastAsia="Times New Roman" w:hAnsi="Times New Roman" w:cs="Times New Roman"/>
          <w:i/>
          <w:iCs/>
          <w:sz w:val="24"/>
          <w:szCs w:val="24"/>
        </w:rPr>
        <w:t xml:space="preserve">Fraxinus </w:t>
      </w:r>
      <w:proofErr w:type="spellStart"/>
      <w:r w:rsidRPr="003143EB">
        <w:rPr>
          <w:rFonts w:ascii="Times New Roman" w:eastAsia="Times New Roman" w:hAnsi="Times New Roman" w:cs="Times New Roman"/>
          <w:i/>
          <w:iCs/>
          <w:sz w:val="24"/>
          <w:szCs w:val="24"/>
        </w:rPr>
        <w:t>americana</w:t>
      </w:r>
      <w:proofErr w:type="spellEnd"/>
      <w:r w:rsidRPr="003143EB">
        <w:rPr>
          <w:rFonts w:ascii="Times New Roman" w:eastAsia="Times New Roman" w:hAnsi="Times New Roman" w:cs="Times New Roman"/>
          <w:sz w:val="24"/>
          <w:szCs w:val="24"/>
        </w:rPr>
        <w:t xml:space="preserve">, </w:t>
      </w:r>
      <w:proofErr w:type="spellStart"/>
      <w:r w:rsidRPr="003143EB">
        <w:rPr>
          <w:rFonts w:ascii="Times New Roman" w:eastAsia="Times New Roman" w:hAnsi="Times New Roman" w:cs="Times New Roman"/>
          <w:i/>
          <w:iCs/>
          <w:sz w:val="24"/>
          <w:szCs w:val="24"/>
        </w:rPr>
        <w:t>Carya</w:t>
      </w:r>
      <w:proofErr w:type="spellEnd"/>
      <w:r w:rsidRPr="003143EB">
        <w:rPr>
          <w:rFonts w:ascii="Times New Roman" w:eastAsia="Times New Roman" w:hAnsi="Times New Roman" w:cs="Times New Roman"/>
          <w:i/>
          <w:iCs/>
          <w:sz w:val="24"/>
          <w:szCs w:val="24"/>
        </w:rPr>
        <w:t xml:space="preserve"> </w:t>
      </w:r>
      <w:proofErr w:type="spellStart"/>
      <w:r w:rsidRPr="003143EB">
        <w:rPr>
          <w:rFonts w:ascii="Times New Roman" w:eastAsia="Times New Roman" w:hAnsi="Times New Roman" w:cs="Times New Roman"/>
          <w:i/>
          <w:iCs/>
          <w:sz w:val="24"/>
          <w:szCs w:val="24"/>
        </w:rPr>
        <w:t>cordiformis</w:t>
      </w:r>
      <w:proofErr w:type="spellEnd"/>
      <w:r w:rsidRPr="003143EB">
        <w:rPr>
          <w:rFonts w:ascii="Times New Roman" w:eastAsia="Times New Roman" w:hAnsi="Times New Roman" w:cs="Times New Roman"/>
          <w:sz w:val="24"/>
          <w:szCs w:val="24"/>
        </w:rPr>
        <w:t xml:space="preserve">, </w:t>
      </w:r>
      <w:r w:rsidRPr="003143EB">
        <w:rPr>
          <w:rFonts w:ascii="Times New Roman" w:eastAsia="Times New Roman" w:hAnsi="Times New Roman" w:cs="Times New Roman"/>
          <w:i/>
          <w:iCs/>
          <w:sz w:val="24"/>
          <w:szCs w:val="24"/>
        </w:rPr>
        <w:t>Quercus alba</w:t>
      </w:r>
      <w:r w:rsidRPr="003143EB">
        <w:rPr>
          <w:rFonts w:ascii="Times New Roman" w:eastAsia="Times New Roman" w:hAnsi="Times New Roman" w:cs="Times New Roman"/>
          <w:sz w:val="24"/>
          <w:szCs w:val="24"/>
        </w:rPr>
        <w:t xml:space="preserve">, and </w:t>
      </w:r>
      <w:r w:rsidRPr="003143EB">
        <w:rPr>
          <w:rFonts w:ascii="Times New Roman" w:eastAsia="Times New Roman" w:hAnsi="Times New Roman" w:cs="Times New Roman"/>
          <w:i/>
          <w:iCs/>
          <w:sz w:val="24"/>
          <w:szCs w:val="24"/>
        </w:rPr>
        <w:t xml:space="preserve">Quercus </w:t>
      </w:r>
      <w:proofErr w:type="spellStart"/>
      <w:r w:rsidRPr="003143EB">
        <w:rPr>
          <w:rFonts w:ascii="Times New Roman" w:eastAsia="Times New Roman" w:hAnsi="Times New Roman" w:cs="Times New Roman"/>
          <w:i/>
          <w:iCs/>
          <w:sz w:val="24"/>
          <w:szCs w:val="24"/>
        </w:rPr>
        <w:t>shumardii</w:t>
      </w:r>
      <w:proofErr w:type="spellEnd"/>
      <w:r w:rsidRPr="003143EB">
        <w:rPr>
          <w:rFonts w:ascii="Times New Roman" w:eastAsia="Times New Roman" w:hAnsi="Times New Roman" w:cs="Times New Roman"/>
          <w:sz w:val="24"/>
          <w:szCs w:val="24"/>
        </w:rPr>
        <w:t>, among other species (Lemke et al. 2025). Forest census data provide georeferenced information on tree location, species identity, diameter at breast height (DBH), and canopy position for individuals throughout the plot.</w:t>
      </w:r>
    </w:p>
    <w:p w14:paraId="4C173E30"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this study, the 2024 tree census was filtered to retain individuals that represented the upper and intermediate canopy and could be reliably associated with the 2025 crown measurements. Trees were included when they had a DBH ≥200 mm and a crown position class of 3-5. These criteria resulted in 4,007 tree crowns representing 50 (Table) species available out of XX across the study site.</w:t>
      </w:r>
    </w:p>
    <w:p w14:paraId="32B9A356" w14:textId="2C6B4973"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Individual tree crowns were represented as circular buffers centered on the current UTM coordinates of each tree. Crown width was estimated for each tree cluster using diameter crown allometric relationships derived from empirical studies of eastern North American forests. Crown diameter was modeled as a function of diameter at breast height (DBH) for the primary stem following species-based relationships reported by </w:t>
      </w:r>
      <w:r w:rsidR="00C10ADA">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Bechtold 2003), or generalized relationships from </w:t>
      </w:r>
      <w:r w:rsidR="00C10ADA">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Gering and May 1995) when species-specific equations were unavailable. All crowns were assumed to be circular in horizontal projection. These crown representations were intersected with quadrats at three spatial grains (10, 20, and 50 m) to estimate the contribution of individual tree crowns to each quadrat (Figure).  Rather than treating each tree as an equal contribution based solely on crown presence, species abundance within each quadrat was estimated from the proportion of each crown overlapping the quadrat. This was done to reflect the alignment of </w:t>
      </w:r>
      <w:r w:rsidR="00C10ADA" w:rsidRPr="003143EB">
        <w:rPr>
          <w:rFonts w:ascii="Times New Roman" w:eastAsia="Times New Roman" w:hAnsi="Times New Roman" w:cs="Times New Roman"/>
          <w:sz w:val="24"/>
          <w:szCs w:val="24"/>
        </w:rPr>
        <w:t>species-specific</w:t>
      </w:r>
      <w:r w:rsidRPr="003143EB">
        <w:rPr>
          <w:rFonts w:ascii="Times New Roman" w:eastAsia="Times New Roman" w:hAnsi="Times New Roman" w:cs="Times New Roman"/>
          <w:sz w:val="24"/>
          <w:szCs w:val="24"/>
        </w:rPr>
        <w:t xml:space="preserve"> leaf spectral characteristics. The resulting values were a canopy-weighted representation of species abundance.</w:t>
      </w:r>
    </w:p>
    <w:p w14:paraId="16BBE34D"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Spatial operations involving tree crowns and quadrats were conducted in R using the sf package. The resulting canopy-weighted species abundance matrices were used for all subsequent species and phylogenetic diversity calculations.</w:t>
      </w:r>
    </w:p>
    <w:p w14:paraId="410BB845"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2.2. Quadrat Design and Spatial Scales</w:t>
      </w:r>
    </w:p>
    <w:p w14:paraId="79A90ADA"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The analysis was conducted at 10, 20, and 50 m spatial grains to evaluate how the relationship between canopy spectral heterogeneity and biodiversity changed with spatial scale (Figure). Tree-crown buffers and hyperspectral pixels were spatially associated with the same quadrat boundaries at each scale.</w:t>
      </w:r>
    </w:p>
    <w:p w14:paraId="65123A9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Documented edge quadrats were excluded from the primary 10 and 20 m analyses because their incomplete spatial coverage could affect canopy composition. No equivalent 50 m edge-</w:t>
      </w:r>
      <w:r w:rsidRPr="003143EB">
        <w:rPr>
          <w:rFonts w:ascii="Times New Roman" w:eastAsia="Times New Roman" w:hAnsi="Times New Roman" w:cs="Times New Roman"/>
          <w:sz w:val="24"/>
          <w:szCs w:val="24"/>
        </w:rPr>
        <w:lastRenderedPageBreak/>
        <w:t>exclusion criterion was applied. In addition, quadrats affected by substantial illumination distortions, including cloud shadow interference, were excluded when insufficient sunlit spectral data remained for reliable spectral analysis.</w:t>
      </w:r>
    </w:p>
    <w:p w14:paraId="075E9431"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2.3.</w:t>
      </w:r>
      <w:commentRangeStart w:id="1"/>
      <w:r w:rsidRPr="003143EB">
        <w:rPr>
          <w:rFonts w:ascii="Times New Roman" w:eastAsia="Times New Roman" w:hAnsi="Times New Roman" w:cs="Times New Roman"/>
          <w:b/>
          <w:bCs/>
          <w:sz w:val="27"/>
          <w:szCs w:val="27"/>
        </w:rPr>
        <w:t xml:space="preserve"> Species and Phylogenetic Diversity</w:t>
      </w:r>
      <w:commentRangeEnd w:id="1"/>
      <w:r w:rsidRPr="003143EB">
        <w:rPr>
          <w:sz w:val="16"/>
          <w:szCs w:val="16"/>
        </w:rPr>
        <w:commentReference w:id="1"/>
      </w:r>
    </w:p>
    <w:p w14:paraId="5267CD6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Species diversity was calculated from the canopy-weighted species abundance matrices generated from the tree crown and quadrat intersections. Four species diversity measures were calculated for each quadrat: species richness, Shannon diversity, Simpson diversity, and species evenness.</w:t>
      </w:r>
    </w:p>
    <w:p w14:paraId="733FCBB2"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Species richness “</w:t>
      </w:r>
      <w:proofErr w:type="spellStart"/>
      <w:r w:rsidRPr="003143EB">
        <w:rPr>
          <w:rFonts w:ascii="Times New Roman" w:eastAsia="Times New Roman" w:hAnsi="Times New Roman" w:cs="Times New Roman"/>
          <w:sz w:val="24"/>
          <w:szCs w:val="24"/>
        </w:rPr>
        <w:t>sp_rich</w:t>
      </w:r>
      <w:proofErr w:type="spellEnd"/>
      <w:r w:rsidRPr="003143EB">
        <w:rPr>
          <w:rFonts w:ascii="Times New Roman" w:eastAsia="Times New Roman" w:hAnsi="Times New Roman" w:cs="Times New Roman"/>
          <w:sz w:val="24"/>
          <w:szCs w:val="24"/>
        </w:rPr>
        <w:t>” was calculated as the number of species with positive crown-overlap abundance within each quadrat. Shannon diversity “</w:t>
      </w:r>
      <w:proofErr w:type="spellStart"/>
      <w:r w:rsidRPr="003143EB">
        <w:rPr>
          <w:rFonts w:ascii="Times New Roman" w:eastAsia="Times New Roman" w:hAnsi="Times New Roman" w:cs="Times New Roman"/>
          <w:sz w:val="24"/>
          <w:szCs w:val="24"/>
        </w:rPr>
        <w:t>sp_shannon</w:t>
      </w:r>
      <w:proofErr w:type="spellEnd"/>
      <w:r w:rsidRPr="003143EB">
        <w:rPr>
          <w:rFonts w:ascii="Times New Roman" w:eastAsia="Times New Roman" w:hAnsi="Times New Roman" w:cs="Times New Roman"/>
          <w:sz w:val="24"/>
          <w:szCs w:val="24"/>
        </w:rPr>
        <w:t>” was calculated from proportional species abundances as</w:t>
      </w:r>
    </w:p>
    <w:p w14:paraId="71765F5A"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H</m:t>
          </m:r>
          <m:r>
            <m:rPr>
              <m:sty m:val="p"/>
            </m:rPr>
            <w:rPr>
              <w:rFonts w:ascii="Cambria Math" w:eastAsia="Times New Roman" w:hAnsi="Cambria Math" w:cs="Times New Roman"/>
              <w:sz w:val="24"/>
              <w:szCs w:val="24"/>
            </w:rPr>
            <m:t> = - </m:t>
          </m:r>
          <w:bookmarkStart w:id="2" w:name="_Hlk238204770"/>
          <m:nary>
            <m:naryPr>
              <m:chr m:val="∑"/>
              <m:grow m:val="1"/>
              <m:subHide m:val="1"/>
              <m:supHide m:val="1"/>
              <m:ctrlPr>
                <w:rPr>
                  <w:rFonts w:ascii="Cambria Math" w:eastAsia="Times New Roman" w:hAnsi="Cambria Math" w:cs="Times New Roman"/>
                  <w:i/>
                  <w:iCs/>
                  <w:sz w:val="24"/>
                  <w:szCs w:val="24"/>
                </w:rPr>
              </m:ctrlPr>
            </m:naryPr>
            <m:sub/>
            <m:sup/>
            <m:e>
              <m:r>
                <m:rPr>
                  <m:sty m:val="p"/>
                </m:rPr>
                <w:rPr>
                  <w:rFonts w:ascii="Cambria Math" w:eastAsia="Times New Roman" w:hAnsi="Cambria Math" w:cs="Times New Roman"/>
                  <w:sz w:val="24"/>
                  <w:szCs w:val="24"/>
                </w:rPr>
                <m:t>pᵢ</m:t>
              </m:r>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ln</m:t>
                  </m:r>
                </m:fName>
                <m:e>
                  <m:d>
                    <m:dPr>
                      <m:ctrlPr>
                        <w:rPr>
                          <w:rFonts w:ascii="Cambria Math" w:eastAsia="Times New Roman" w:hAnsi="Cambria Math" w:cs="Times New Roman"/>
                          <w:sz w:val="24"/>
                          <w:szCs w:val="24"/>
                        </w:rPr>
                      </m:ctrlPr>
                    </m:dPr>
                    <m:e>
                      <m:r>
                        <m:rPr>
                          <m:sty m:val="p"/>
                        </m:rPr>
                        <w:rPr>
                          <w:rFonts w:ascii="Cambria Math" w:eastAsia="Times New Roman" w:hAnsi="Cambria Math" w:cs="Times New Roman"/>
                          <w:sz w:val="24"/>
                          <w:szCs w:val="24"/>
                        </w:rPr>
                        <m:t>pᵢ</m:t>
                      </m:r>
                    </m:e>
                  </m:d>
                </m:e>
              </m:func>
            </m:e>
          </m:nary>
        </m:oMath>
      </m:oMathPara>
      <w:bookmarkEnd w:id="2"/>
    </w:p>
    <w:p w14:paraId="6534EAEA"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p>
    <w:p w14:paraId="3A251083"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where (pᵢ) is the proportional crown abundance of species (</w:t>
      </w:r>
      <w:proofErr w:type="spellStart"/>
      <w:r w:rsidRPr="003143EB">
        <w:rPr>
          <w:rFonts w:ascii="Times New Roman" w:eastAsia="Times New Roman" w:hAnsi="Times New Roman" w:cs="Times New Roman"/>
          <w:sz w:val="24"/>
          <w:szCs w:val="24"/>
        </w:rPr>
        <w:t>i</w:t>
      </w:r>
      <w:proofErr w:type="spellEnd"/>
      <w:r w:rsidRPr="003143EB">
        <w:rPr>
          <w:rFonts w:ascii="Times New Roman" w:eastAsia="Times New Roman" w:hAnsi="Times New Roman" w:cs="Times New Roman"/>
          <w:sz w:val="24"/>
          <w:szCs w:val="24"/>
        </w:rPr>
        <w:t>).</w:t>
      </w:r>
    </w:p>
    <w:p w14:paraId="3AF754F2"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Simpson diversity “</w:t>
      </w:r>
      <w:proofErr w:type="spellStart"/>
      <w:r w:rsidRPr="003143EB">
        <w:rPr>
          <w:rFonts w:ascii="Times New Roman" w:eastAsia="Times New Roman" w:hAnsi="Times New Roman" w:cs="Times New Roman"/>
          <w:sz w:val="24"/>
          <w:szCs w:val="24"/>
        </w:rPr>
        <w:t>sp_simpson</w:t>
      </w:r>
      <w:proofErr w:type="spellEnd"/>
      <w:r w:rsidRPr="003143EB">
        <w:rPr>
          <w:rFonts w:ascii="Times New Roman" w:eastAsia="Times New Roman" w:hAnsi="Times New Roman" w:cs="Times New Roman"/>
          <w:sz w:val="24"/>
          <w:szCs w:val="24"/>
        </w:rPr>
        <w:t>” was calculated as</w:t>
      </w:r>
    </w:p>
    <w:p w14:paraId="3D829C35"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m:t>
          </m:r>
          <m:nary>
            <m:naryPr>
              <m:chr m:val="∑"/>
              <m:grow m:val="1"/>
              <m:subHide m:val="1"/>
              <m:supHide m:val="1"/>
              <m:ctrlPr>
                <w:rPr>
                  <w:rFonts w:ascii="Cambria Math" w:eastAsia="Times New Roman" w:hAnsi="Cambria Math" w:cs="Times New Roman"/>
                  <w:i/>
                  <w:iCs/>
                  <w:sz w:val="24"/>
                  <w:szCs w:val="24"/>
                </w:rPr>
              </m:ctrlPr>
            </m:naryPr>
            <m:sub/>
            <m:sup/>
            <m:e>
              <m:r>
                <m:rPr>
                  <m:sty m:val="p"/>
                </m:rPr>
                <w:rPr>
                  <w:rFonts w:ascii="Cambria Math" w:eastAsia="Times New Roman" w:hAnsi="Cambria Math" w:cs="Times New Roman"/>
                  <w:sz w:val="24"/>
                  <w:szCs w:val="24"/>
                </w:rPr>
                <m:t>p</m:t>
              </m:r>
              <m:sSup>
                <m:sSupPr>
                  <m:ctrlPr>
                    <w:rPr>
                      <w:rFonts w:ascii="Cambria Math" w:eastAsia="Times New Roman" w:hAnsi="Cambria Math" w:cs="Times New Roman"/>
                      <w:sz w:val="24"/>
                      <w:szCs w:val="24"/>
                    </w:rPr>
                  </m:ctrlPr>
                </m:sSupPr>
                <m:e>
                  <m:r>
                    <m:rPr>
                      <m:sty m:val="p"/>
                    </m:rPr>
                    <w:rPr>
                      <w:rFonts w:ascii="Cambria Math" w:eastAsia="Times New Roman" w:hAnsi="Cambria Math" w:cs="Times New Roman"/>
                      <w:sz w:val="24"/>
                      <w:szCs w:val="24"/>
                    </w:rPr>
                    <m:t>ᵢ</m:t>
                  </m:r>
                </m:e>
                <m:sup>
                  <m:r>
                    <m:rPr>
                      <m:sty m:val="p"/>
                    </m:rPr>
                    <w:rPr>
                      <w:rFonts w:ascii="Cambria Math" w:eastAsia="Times New Roman" w:hAnsi="Cambria Math" w:cs="Times New Roman"/>
                      <w:sz w:val="24"/>
                      <w:szCs w:val="24"/>
                    </w:rPr>
                    <m:t>2</m:t>
                  </m:r>
                </m:sup>
              </m:sSup>
            </m:e>
          </m:nary>
        </m:oMath>
      </m:oMathPara>
    </w:p>
    <w:p w14:paraId="56AF845B"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Species evenness “</w:t>
      </w:r>
      <w:proofErr w:type="spellStart"/>
      <w:r w:rsidRPr="003143EB">
        <w:rPr>
          <w:rFonts w:ascii="Times New Roman" w:eastAsia="Times New Roman" w:hAnsi="Times New Roman" w:cs="Times New Roman"/>
          <w:sz w:val="24"/>
          <w:szCs w:val="24"/>
        </w:rPr>
        <w:t>sp_even</w:t>
      </w:r>
      <w:proofErr w:type="spellEnd"/>
      <w:r w:rsidRPr="003143EB">
        <w:rPr>
          <w:rFonts w:ascii="Times New Roman" w:eastAsia="Times New Roman" w:hAnsi="Times New Roman" w:cs="Times New Roman"/>
          <w:sz w:val="24"/>
          <w:szCs w:val="24"/>
        </w:rPr>
        <w:t>” was calculated as Shannon diversity divided by the natural logarithm of species richness when more than one species was present. Quadrats containing one or no species were assigned an evenness value of zero.</w:t>
      </w:r>
    </w:p>
    <w:p w14:paraId="26756E80"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Phylogenetic diversity was calculated using the taxonomic information available for the species represented in the forest census. A phylogeny was constructed using the R package </w:t>
      </w:r>
      <w:proofErr w:type="gramStart"/>
      <w:r w:rsidRPr="003143EB">
        <w:rPr>
          <w:rFonts w:ascii="Times New Roman" w:eastAsia="Times New Roman" w:hAnsi="Times New Roman" w:cs="Times New Roman"/>
          <w:sz w:val="24"/>
          <w:szCs w:val="24"/>
        </w:rPr>
        <w:t>V.PhyloMaker</w:t>
      </w:r>
      <w:proofErr w:type="gramEnd"/>
      <w:r w:rsidRPr="003143EB">
        <w:rPr>
          <w:rFonts w:ascii="Times New Roman" w:eastAsia="Times New Roman" w:hAnsi="Times New Roman" w:cs="Times New Roman"/>
          <w:sz w:val="24"/>
          <w:szCs w:val="24"/>
        </w:rPr>
        <w:t xml:space="preserve">2, with the </w:t>
      </w:r>
      <w:proofErr w:type="spellStart"/>
      <w:r w:rsidRPr="003143EB">
        <w:rPr>
          <w:rFonts w:ascii="Times New Roman" w:eastAsia="Times New Roman" w:hAnsi="Times New Roman" w:cs="Times New Roman"/>
          <w:sz w:val="24"/>
          <w:szCs w:val="24"/>
        </w:rPr>
        <w:t>GBOTB.extended.TPL</w:t>
      </w:r>
      <w:proofErr w:type="spellEnd"/>
      <w:r w:rsidRPr="003143EB">
        <w:rPr>
          <w:rFonts w:ascii="Times New Roman" w:eastAsia="Times New Roman" w:hAnsi="Times New Roman" w:cs="Times New Roman"/>
          <w:sz w:val="24"/>
          <w:szCs w:val="24"/>
        </w:rPr>
        <w:t xml:space="preserve"> backbone, the corresponding node information table, and scenario 3. Genus, species, and family information were matched between the forest census and the phylogenetic backbone before calculating quadrat-level phylogenetic diversity.</w:t>
      </w:r>
    </w:p>
    <w:p w14:paraId="021CFD5E"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Three phylogenetic measures were </w:t>
      </w:r>
      <w:commentRangeStart w:id="3"/>
      <w:r w:rsidRPr="003143EB">
        <w:rPr>
          <w:rFonts w:ascii="Times New Roman" w:eastAsia="Times New Roman" w:hAnsi="Times New Roman" w:cs="Times New Roman"/>
          <w:sz w:val="24"/>
          <w:szCs w:val="24"/>
        </w:rPr>
        <w:t>calculated:</w:t>
      </w:r>
      <w:commentRangeEnd w:id="3"/>
      <w:r w:rsidRPr="003143EB">
        <w:rPr>
          <w:sz w:val="16"/>
          <w:szCs w:val="16"/>
        </w:rPr>
        <w:commentReference w:id="3"/>
      </w:r>
      <w:r w:rsidRPr="003143EB">
        <w:rPr>
          <w:rFonts w:ascii="Times New Roman" w:eastAsia="Times New Roman" w:hAnsi="Times New Roman" w:cs="Times New Roman"/>
          <w:sz w:val="24"/>
          <w:szCs w:val="24"/>
        </w:rPr>
        <w:t xml:space="preserve"> Faith's phylogenetic diversity “</w:t>
      </w:r>
      <w:proofErr w:type="spellStart"/>
      <w:r w:rsidRPr="003143EB">
        <w:rPr>
          <w:rFonts w:ascii="Times New Roman" w:eastAsia="Times New Roman" w:hAnsi="Times New Roman" w:cs="Times New Roman"/>
          <w:sz w:val="24"/>
          <w:szCs w:val="24"/>
        </w:rPr>
        <w:t>phy_faith</w:t>
      </w:r>
      <w:proofErr w:type="spellEnd"/>
      <w:r w:rsidRPr="003143EB">
        <w:rPr>
          <w:rFonts w:ascii="Times New Roman" w:eastAsia="Times New Roman" w:hAnsi="Times New Roman" w:cs="Times New Roman"/>
          <w:sz w:val="24"/>
          <w:szCs w:val="24"/>
        </w:rPr>
        <w:t>”, phylogenetic Rao's Q “</w:t>
      </w:r>
      <w:proofErr w:type="spellStart"/>
      <w:r w:rsidRPr="003143EB">
        <w:rPr>
          <w:rFonts w:ascii="Times New Roman" w:eastAsia="Times New Roman" w:hAnsi="Times New Roman" w:cs="Times New Roman"/>
          <w:sz w:val="24"/>
          <w:szCs w:val="24"/>
        </w:rPr>
        <w:t>phy_rao</w:t>
      </w:r>
      <w:proofErr w:type="spellEnd"/>
      <w:r w:rsidRPr="003143EB">
        <w:rPr>
          <w:rFonts w:ascii="Times New Roman" w:eastAsia="Times New Roman" w:hAnsi="Times New Roman" w:cs="Times New Roman"/>
          <w:sz w:val="24"/>
          <w:szCs w:val="24"/>
        </w:rPr>
        <w:t>”, and abundance-weighted Faith's phylogenetic diversity “</w:t>
      </w:r>
      <w:proofErr w:type="spellStart"/>
      <w:r w:rsidRPr="003143EB">
        <w:rPr>
          <w:rFonts w:ascii="Times New Roman" w:eastAsia="Times New Roman" w:hAnsi="Times New Roman" w:cs="Times New Roman"/>
          <w:sz w:val="24"/>
          <w:szCs w:val="24"/>
        </w:rPr>
        <w:t>phy_afaith</w:t>
      </w:r>
      <w:proofErr w:type="spellEnd"/>
      <w:r w:rsidRPr="003143EB">
        <w:rPr>
          <w:rFonts w:ascii="Times New Roman" w:eastAsia="Times New Roman" w:hAnsi="Times New Roman" w:cs="Times New Roman"/>
          <w:sz w:val="24"/>
          <w:szCs w:val="24"/>
        </w:rPr>
        <w:t>”. Faith's phylogenetic diversity was calculated as the total branch length connecting the species present within each quadrat. Phylogenetic Rao's Q was calculated from pairwise cophenetic distances among species using proportional crown-overlap abundances. Abundance-weighted Faith's phylogenetic diversity incorporated proportional crown abundance into the contribution of terminal branches to the total phylogenetic diversity of each quadrat.</w:t>
      </w:r>
    </w:p>
    <w:p w14:paraId="2D30C2F6"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2.4. Hyperspectral Data Collection and Processing</w:t>
      </w:r>
    </w:p>
    <w:p w14:paraId="42B4199B"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lastRenderedPageBreak/>
        <w:t xml:space="preserve">Drone-based hyperspectral imagery was collected over the study area in June 2024 using a Headwall Micro A-series visible and near-infrared push-broom imaging sensor. The sensor recorded reflectance from approximately 396 to 1002 nm across 328 spectral bands at an approximate spectral resolution of 2 nm and a spatial resolution of 10 cm. The sensor was mounted on a DJI </w:t>
      </w:r>
      <w:proofErr w:type="spellStart"/>
      <w:r w:rsidRPr="003143EB">
        <w:rPr>
          <w:rFonts w:ascii="Times New Roman" w:eastAsia="Times New Roman" w:hAnsi="Times New Roman" w:cs="Times New Roman"/>
          <w:sz w:val="24"/>
          <w:szCs w:val="24"/>
        </w:rPr>
        <w:t>Matrice</w:t>
      </w:r>
      <w:proofErr w:type="spellEnd"/>
      <w:r w:rsidRPr="003143EB">
        <w:rPr>
          <w:rFonts w:ascii="Times New Roman" w:eastAsia="Times New Roman" w:hAnsi="Times New Roman" w:cs="Times New Roman"/>
          <w:sz w:val="24"/>
          <w:szCs w:val="24"/>
        </w:rPr>
        <w:t xml:space="preserve"> 600 unmanned aerial system and incorporated an APX-15 Global Positioning System/Inertial Measurement Unit for georeferencing (Figure).</w:t>
      </w:r>
    </w:p>
    <w:p w14:paraId="12472FAB"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Reference standards were used during image acquisition and radiometric processing to account for illumination conditions and convert measured radiance to reflectance. The hyperspectral imagery was orthorectified and georeferenced to the World Geodetic System 1984 Universal Transverse Mercator coordinate system, Zone 16.</w:t>
      </w:r>
    </w:p>
    <w:p w14:paraId="4FFC7D39"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The resulting hyperspectral imagery was spatially partitioned into 10, 20, and 50m quadrats. Hyperspectral tiles affected by substantial illumination distortions, including cloud-shadow interference, were removed prior to pixel selection. Within the remaining imagery, pixels were selected based on their spatial position within overlapping scan lines to reduce the influence of scan-angle-related distortions. Quadrats with insufficient valid hyperspectral coverage following these quality-control procedures were excluded from subsequent analyses.</w:t>
      </w:r>
    </w:p>
    <w:p w14:paraId="245CE633"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Spectral data were first smoothed using a </w:t>
      </w:r>
      <w:proofErr w:type="spellStart"/>
      <w:r w:rsidRPr="003143EB">
        <w:rPr>
          <w:rFonts w:ascii="Times New Roman" w:eastAsia="Times New Roman" w:hAnsi="Times New Roman" w:cs="Times New Roman"/>
          <w:sz w:val="24"/>
          <w:szCs w:val="24"/>
        </w:rPr>
        <w:t>Savitzky</w:t>
      </w:r>
      <w:proofErr w:type="spellEnd"/>
      <w:r w:rsidRPr="003143EB">
        <w:rPr>
          <w:rFonts w:ascii="Times New Roman" w:eastAsia="Times New Roman" w:hAnsi="Times New Roman" w:cs="Times New Roman"/>
          <w:sz w:val="24"/>
          <w:szCs w:val="24"/>
        </w:rPr>
        <w:t>–</w:t>
      </w:r>
      <w:proofErr w:type="spellStart"/>
      <w:r w:rsidRPr="003143EB">
        <w:rPr>
          <w:rFonts w:ascii="Times New Roman" w:eastAsia="Times New Roman" w:hAnsi="Times New Roman" w:cs="Times New Roman"/>
          <w:sz w:val="24"/>
          <w:szCs w:val="24"/>
        </w:rPr>
        <w:t>Golay</w:t>
      </w:r>
      <w:proofErr w:type="spellEnd"/>
      <w:r w:rsidRPr="003143EB">
        <w:rPr>
          <w:rFonts w:ascii="Times New Roman" w:eastAsia="Times New Roman" w:hAnsi="Times New Roman" w:cs="Times New Roman"/>
          <w:sz w:val="24"/>
          <w:szCs w:val="24"/>
        </w:rPr>
        <w:t xml:space="preserve"> filter in R with the </w:t>
      </w:r>
      <w:proofErr w:type="gramStart"/>
      <w:r w:rsidRPr="003143EB">
        <w:rPr>
          <w:rFonts w:ascii="Times New Roman" w:eastAsia="Times New Roman" w:hAnsi="Times New Roman" w:cs="Times New Roman"/>
          <w:sz w:val="24"/>
          <w:szCs w:val="24"/>
        </w:rPr>
        <w:t>signal::</w:t>
      </w:r>
      <w:proofErr w:type="spellStart"/>
      <w:proofErr w:type="gramEnd"/>
      <w:r w:rsidRPr="003143EB">
        <w:rPr>
          <w:rFonts w:ascii="Times New Roman" w:eastAsia="Times New Roman" w:hAnsi="Times New Roman" w:cs="Times New Roman"/>
          <w:sz w:val="24"/>
          <w:szCs w:val="24"/>
        </w:rPr>
        <w:t>sgolayfilt</w:t>
      </w:r>
      <w:proofErr w:type="spellEnd"/>
      <w:r w:rsidRPr="003143EB">
        <w:rPr>
          <w:rFonts w:ascii="Times New Roman" w:eastAsia="Times New Roman" w:hAnsi="Times New Roman" w:cs="Times New Roman"/>
          <w:sz w:val="24"/>
          <w:szCs w:val="24"/>
        </w:rPr>
        <w:t>() function, using a third-order polynomial (p = 3) and a window size of 15 (n = 15), applied across the spectral dimension for each pixel spectrum. Then resampled from approximately 2 nm to 5 nm wavelength intervals to reduce spectral dimensionality and computational requirements while retaining the broad spectral characteristics canopy spectra.</w:t>
      </w:r>
    </w:p>
    <w:p w14:paraId="1AF7FAFC"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Raster processing and spatial extraction were conducted using R packages including terra and sf, and spectral and tabular data manipulation used </w:t>
      </w:r>
      <w:proofErr w:type="spellStart"/>
      <w:r w:rsidRPr="003143EB">
        <w:rPr>
          <w:rFonts w:ascii="Times New Roman" w:eastAsia="Times New Roman" w:hAnsi="Times New Roman" w:cs="Times New Roman"/>
          <w:sz w:val="24"/>
          <w:szCs w:val="24"/>
        </w:rPr>
        <w:t>dplyr</w:t>
      </w:r>
      <w:proofErr w:type="spellEnd"/>
      <w:r w:rsidRPr="003143EB">
        <w:rPr>
          <w:rFonts w:ascii="Times New Roman" w:eastAsia="Times New Roman" w:hAnsi="Times New Roman" w:cs="Times New Roman"/>
          <w:sz w:val="24"/>
          <w:szCs w:val="24"/>
        </w:rPr>
        <w:t xml:space="preserve">, </w:t>
      </w:r>
      <w:proofErr w:type="spellStart"/>
      <w:r w:rsidRPr="003143EB">
        <w:rPr>
          <w:rFonts w:ascii="Times New Roman" w:eastAsia="Times New Roman" w:hAnsi="Times New Roman" w:cs="Times New Roman"/>
          <w:sz w:val="24"/>
          <w:szCs w:val="24"/>
        </w:rPr>
        <w:t>tidyr</w:t>
      </w:r>
      <w:proofErr w:type="spellEnd"/>
      <w:r w:rsidRPr="003143EB">
        <w:rPr>
          <w:rFonts w:ascii="Times New Roman" w:eastAsia="Times New Roman" w:hAnsi="Times New Roman" w:cs="Times New Roman"/>
          <w:sz w:val="24"/>
          <w:szCs w:val="24"/>
        </w:rPr>
        <w:t xml:space="preserve">, and </w:t>
      </w:r>
      <w:proofErr w:type="spellStart"/>
      <w:r w:rsidRPr="003143EB">
        <w:rPr>
          <w:rFonts w:ascii="Times New Roman" w:eastAsia="Times New Roman" w:hAnsi="Times New Roman" w:cs="Times New Roman"/>
          <w:sz w:val="24"/>
          <w:szCs w:val="24"/>
        </w:rPr>
        <w:t>readr</w:t>
      </w:r>
      <w:proofErr w:type="spellEnd"/>
      <w:r w:rsidRPr="003143EB">
        <w:rPr>
          <w:rFonts w:ascii="Times New Roman" w:eastAsia="Times New Roman" w:hAnsi="Times New Roman" w:cs="Times New Roman"/>
          <w:sz w:val="24"/>
          <w:szCs w:val="24"/>
        </w:rPr>
        <w:t>.</w:t>
      </w:r>
    </w:p>
    <w:p w14:paraId="366461D3"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2.5. Shadow Masking and Illumination Screening</w:t>
      </w:r>
    </w:p>
    <w:p w14:paraId="4409B20B"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A set of reference polygons classified as sunlit or shadowed was used to evaluate spectral differences associated with illumination conditions. Reflectance values were extracted from the hyperspectral imagery across the available wavelengths, and receiver operating characteristic (ROC) analysis was used to evaluate the ability of individual wavelengths to distinguish sunlit and shadowed pixels.</w:t>
      </w:r>
    </w:p>
    <w:p w14:paraId="43003A65"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each wavelength, reflectance was used as the predictor and the sunlit or shadowed classification was used as the response. ROC curves and area under the curve (AUC) values were calculated, and candidate thresholds were evaluated from the ROC coordinates.</w:t>
      </w:r>
    </w:p>
    <w:p w14:paraId="7ACD0BD4"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The spectral heterogeneity analysis used reflectance at 563 nm to screen for illumination conditions. Pixels with 563 nm reflectance greater than 0.0305476 were retained as sunlit pixels. This threshold was applied consistently to the smoothed and 5 nm resampled imagery before calculation of PCA-based spectral heterogeneity.</w:t>
      </w:r>
    </w:p>
    <w:p w14:paraId="274BCDBC"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2.6. Construction of a Common PCA Spectral Space</w:t>
      </w:r>
    </w:p>
    <w:p w14:paraId="222079BE"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lastRenderedPageBreak/>
        <w:t>Principal component analysis (PCA) was used to reduce the dimensionality of the hyperspectral data and to provide a common spectral coordinate system for calculating spectral heterogeneity. A common PCA basis was constructed from the 10 m spectral data and subsequently applied to spectra from all three quadrat grains. Using a common PCA space allowed spectral heterogeneity to be compared across spatial scales without fitting separate PCA models to each quadrat size.</w:t>
      </w:r>
    </w:p>
    <w:p w14:paraId="52EB3CB3"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Up to 450 retained sunlit pixels were sampled from each 10 m quadrat for construction of the PCA basis. Sampling was conducted using deterministic random seeds based on quadrat identifiers so that the PCA input could be reproduced. The PCA input contained 121 spectral bands.</w:t>
      </w:r>
    </w:p>
    <w:p w14:paraId="25846E3A"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Two PCA bases were constructed. The first was calculated directly from the retained reflectance spectra and is referred to as the raw PCA. The second was calculated after vector normalization of each pixel spectrum and referred to as standardized PCA. For each spectral vector (x), containing reflectance values across the 121 spectral bands, the Euclidean norm was calculated as</w:t>
      </w:r>
    </w:p>
    <w:bookmarkStart w:id="4" w:name="_Hlk238208603"/>
    <w:p w14:paraId="648580AF"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iCs/>
                  <w:sz w:val="24"/>
                  <w:szCs w:val="24"/>
                </w:rPr>
              </m:ctrlPr>
            </m:dPr>
            <m:e>
              <m:r>
                <w:rPr>
                  <w:rFonts w:ascii="Cambria Math" w:eastAsia="Times New Roman" w:hAnsi="Cambria Math" w:cs="Times New Roman"/>
                  <w:sz w:val="24"/>
                  <w:szCs w:val="24"/>
                </w:rPr>
                <m:t>x</m:t>
              </m:r>
            </m:e>
          </m:d>
          <m:r>
            <m:rPr>
              <m:sty m:val="p"/>
            </m:rPr>
            <w:rPr>
              <w:rFonts w:ascii="Cambria Math" w:eastAsia="Times New Roman" w:hAnsi="Cambria Math" w:cs="Times New Roman"/>
              <w:sz w:val="24"/>
              <w:szCs w:val="24"/>
            </w:rPr>
            <m:t> =  </m:t>
          </m:r>
          <m:rad>
            <m:radPr>
              <m:degHide m:val="1"/>
              <m:ctrlPr>
                <w:rPr>
                  <w:rFonts w:ascii="Cambria Math" w:eastAsia="Times New Roman" w:hAnsi="Cambria Math" w:cs="Times New Roman"/>
                  <w:i/>
                  <w:iCs/>
                  <w:sz w:val="24"/>
                  <w:szCs w:val="24"/>
                </w:rPr>
              </m:ctrlPr>
            </m:radPr>
            <m:deg/>
            <m:e>
              <m:nary>
                <m:naryPr>
                  <m:chr m:val="∑"/>
                  <m:limLoc m:val="undOvr"/>
                  <m:ctrlPr>
                    <w:rPr>
                      <w:rFonts w:ascii="Cambria Math" w:eastAsia="Times New Roman" w:hAnsi="Cambria Math" w:cs="Times New Roman"/>
                      <w:i/>
                      <w:iCs/>
                      <w:sz w:val="24"/>
                      <w:szCs w:val="24"/>
                    </w:rPr>
                  </m:ctrlPr>
                </m:naryPr>
                <m:sub>
                  <m:r>
                    <w:rPr>
                      <w:rFonts w:ascii="Cambria Math" w:eastAsia="Times New Roman" w:hAnsi="Cambria Math" w:cs="Times New Roman"/>
                      <w:sz w:val="24"/>
                      <w:szCs w:val="24"/>
                    </w:rPr>
                    <m:t>i=1</m:t>
                  </m:r>
                </m:sub>
                <m:sup>
                  <m:r>
                    <w:rPr>
                      <w:rFonts w:ascii="Cambria Math" w:eastAsia="Times New Roman" w:hAnsi="Cambria Math" w:cs="Times New Roman"/>
                      <w:sz w:val="24"/>
                      <w:szCs w:val="24"/>
                    </w:rPr>
                    <m:t>121</m:t>
                  </m:r>
                </m:sup>
                <m:e>
                  <m:sSubSup>
                    <m:sSubSupPr>
                      <m:ctrlPr>
                        <w:rPr>
                          <w:rFonts w:ascii="Cambria Math" w:eastAsia="Times New Roman" w:hAnsi="Cambria Math" w:cs="Times New Roman"/>
                          <w:i/>
                          <w:iCs/>
                          <w:sz w:val="24"/>
                          <w:szCs w:val="24"/>
                        </w:rPr>
                      </m:ctrlPr>
                    </m:sSubSup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up>
                      <m:r>
                        <w:rPr>
                          <w:rFonts w:ascii="Cambria Math" w:eastAsia="Times New Roman" w:hAnsi="Cambria Math" w:cs="Times New Roman"/>
                          <w:sz w:val="24"/>
                          <w:szCs w:val="24"/>
                        </w:rPr>
                        <m:t>2</m:t>
                      </m:r>
                    </m:sup>
                  </m:sSubSup>
                </m:e>
              </m:nary>
            </m:e>
          </m:rad>
        </m:oMath>
      </m:oMathPara>
    </w:p>
    <w:bookmarkEnd w:id="4"/>
    <w:p w14:paraId="70A69CB4"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and each spectrum was then normalized as</w:t>
      </w:r>
    </w:p>
    <w:p w14:paraId="42D68B25"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p>
    <w:bookmarkStart w:id="5" w:name="_Hlk238209750"/>
    <w:p w14:paraId="3BA4D7B1"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vertAlign w:val="subscript"/>
        </w:rPr>
      </w:pPr>
      <m:oMathPara>
        <m:oMath>
          <m:sSub>
            <m:sSubPr>
              <m:ctrlPr>
                <w:rPr>
                  <w:rFonts w:ascii="Cambria Math" w:eastAsia="Times New Roman" w:hAnsi="Cambria Math" w:cs="Times New Roman"/>
                  <w:i/>
                  <w:sz w:val="24"/>
                  <w:szCs w:val="24"/>
                  <w:vertAlign w:val="subscript"/>
                </w:rPr>
              </m:ctrlPr>
            </m:sSubPr>
            <m:e>
              <m:r>
                <w:rPr>
                  <w:rFonts w:ascii="Cambria Math" w:eastAsia="Times New Roman" w:hAnsi="Cambria Math" w:cs="Times New Roman"/>
                  <w:sz w:val="24"/>
                  <w:szCs w:val="24"/>
                  <w:vertAlign w:val="subscript"/>
                </w:rPr>
                <m:t>x</m:t>
              </m:r>
            </m:e>
            <m:sub>
              <m:r>
                <w:rPr>
                  <w:rFonts w:ascii="Cambria Math" w:eastAsia="Times New Roman" w:hAnsi="Cambria Math" w:cs="Times New Roman"/>
                  <w:sz w:val="24"/>
                  <w:szCs w:val="24"/>
                  <w:vertAlign w:val="subscript"/>
                </w:rPr>
                <m:t>norm</m:t>
              </m:r>
            </m:sub>
          </m:sSub>
          <m:r>
            <w:rPr>
              <w:rFonts w:ascii="Cambria Math" w:eastAsia="Times New Roman" w:hAnsi="Cambria Math" w:cs="Times New Roman"/>
              <w:sz w:val="24"/>
              <w:szCs w:val="24"/>
              <w:vertAlign w:val="subscript"/>
            </w:rPr>
            <m:t>=</m:t>
          </m:r>
          <m:f>
            <m:fPr>
              <m:ctrlPr>
                <w:rPr>
                  <w:rFonts w:ascii="Cambria Math" w:eastAsia="Times New Roman" w:hAnsi="Cambria Math" w:cs="Times New Roman"/>
                  <w:i/>
                  <w:sz w:val="24"/>
                  <w:szCs w:val="24"/>
                  <w:vertAlign w:val="subscript"/>
                </w:rPr>
              </m:ctrlPr>
            </m:fPr>
            <m:num>
              <m:r>
                <w:rPr>
                  <w:rFonts w:ascii="Cambria Math" w:eastAsia="Times New Roman" w:hAnsi="Cambria Math" w:cs="Times New Roman"/>
                  <w:sz w:val="24"/>
                  <w:szCs w:val="24"/>
                  <w:vertAlign w:val="subscript"/>
                </w:rPr>
                <m:t>x</m:t>
              </m:r>
            </m:num>
            <m:den>
              <m:d>
                <m:dPr>
                  <m:begChr m:val="‖"/>
                  <m:endChr m:val="‖"/>
                  <m:ctrlPr>
                    <w:rPr>
                      <w:rFonts w:ascii="Cambria Math" w:eastAsia="Times New Roman" w:hAnsi="Cambria Math" w:cs="Times New Roman"/>
                      <w:i/>
                      <w:sz w:val="24"/>
                      <w:szCs w:val="24"/>
                      <w:vertAlign w:val="subscript"/>
                    </w:rPr>
                  </m:ctrlPr>
                </m:dPr>
                <m:e>
                  <m:r>
                    <w:rPr>
                      <w:rFonts w:ascii="Cambria Math" w:eastAsia="Times New Roman" w:hAnsi="Cambria Math" w:cs="Times New Roman"/>
                      <w:sz w:val="24"/>
                      <w:szCs w:val="24"/>
                      <w:vertAlign w:val="subscript"/>
                    </w:rPr>
                    <m:t>x</m:t>
                  </m:r>
                </m:e>
              </m:d>
            </m:den>
          </m:f>
        </m:oMath>
      </m:oMathPara>
    </w:p>
    <w:bookmarkEnd w:id="5"/>
    <w:p w14:paraId="3DF3858E"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Vector normalization was used to reduce differences in overall spectral magnitude while retaining differences in the relative shape of the spectrum. PCA was then calculated from the normalized spectra.</w:t>
      </w:r>
    </w:p>
    <w:p w14:paraId="425773C6"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Three principal components were retained from each PCA basis for subsequent spectral heterogeneity calculations. PCA objects and variance-explained summaries were retained for reproducibility and were used to project spectra from the 10, 20, and 50 m quadrats into the same spectral coordinate system.</w:t>
      </w:r>
    </w:p>
    <w:p w14:paraId="30014EF1"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Documented atmospheric and cloud-related exclusions were applied before calculating the final PCA metrics. Where an excluded 20 m quadrat corresponded to multiple 10 m quadrats, the corresponding 10 m areas were also excluded to maintain consistent spatial coverage.</w:t>
      </w:r>
    </w:p>
    <w:p w14:paraId="3D3E4F7D"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p>
    <w:p w14:paraId="1A7C4362"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p>
    <w:p w14:paraId="2C31B954"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lastRenderedPageBreak/>
        <w:t xml:space="preserve">2.7. </w:t>
      </w:r>
      <w:commentRangeStart w:id="6"/>
      <w:r w:rsidRPr="003143EB">
        <w:rPr>
          <w:rFonts w:ascii="Times New Roman" w:eastAsia="Times New Roman" w:hAnsi="Times New Roman" w:cs="Times New Roman"/>
          <w:b/>
          <w:bCs/>
          <w:sz w:val="27"/>
          <w:szCs w:val="27"/>
        </w:rPr>
        <w:t>Spectral Heterogeneity</w:t>
      </w:r>
      <w:commentRangeEnd w:id="6"/>
      <w:r w:rsidRPr="003143EB">
        <w:rPr>
          <w:sz w:val="16"/>
          <w:szCs w:val="16"/>
        </w:rPr>
        <w:commentReference w:id="6"/>
      </w:r>
    </w:p>
    <w:p w14:paraId="0A9FA43C"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Spectral heterogeneity was quantified using PCA-based measures of spectral dispersion. The PCA-based metrics were alpha-hull area, mean Euclidean distance from the quadrat spectral centroid, and spectral Rao's Q. Each metric was calculated in both the raw PCA space and the vector-normalized PCA space. The vector-normalized metrics were used as the primary PCA-based measures because they were designed to reduce the influence of overall spectral magnitude.</w:t>
      </w:r>
    </w:p>
    <w:p w14:paraId="296C47AC"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b/>
          <w:bCs/>
          <w:sz w:val="24"/>
          <w:szCs w:val="24"/>
        </w:rPr>
      </w:pPr>
      <w:r w:rsidRPr="003143EB">
        <w:rPr>
          <w:rFonts w:ascii="Times New Roman" w:eastAsia="Times New Roman" w:hAnsi="Times New Roman" w:cs="Times New Roman"/>
          <w:b/>
          <w:bCs/>
          <w:sz w:val="24"/>
          <w:szCs w:val="24"/>
        </w:rPr>
        <w:t>2.7.1. PCA Mean Euclidean Distance</w:t>
      </w:r>
    </w:p>
    <w:p w14:paraId="3A065BF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each quadrat, retained spectra were projected into PC1, PC2, and PC3. A spectral centroid was calculated from the mean score of the retained pixels on each principal component. The Euclidean distance between each pixel and the quadrat centroid was then calculated as</w:t>
      </w:r>
    </w:p>
    <w:p w14:paraId="2102DB5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iCs/>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i</m:t>
              </m:r>
            </m:sub>
          </m:sSub>
          <m:r>
            <m:rPr>
              <m:sty m:val="p"/>
            </m:rPr>
            <w:rPr>
              <w:rFonts w:ascii="Cambria Math" w:eastAsia="Times New Roman" w:hAnsi="Cambria Math" w:cs="Times New Roman"/>
              <w:sz w:val="24"/>
              <w:szCs w:val="24"/>
            </w:rPr>
            <m:t> =  </m:t>
          </m:r>
          <m:rad>
            <m:radPr>
              <m:degHide m:val="1"/>
              <m:ctrlPr>
                <w:rPr>
                  <w:rFonts w:ascii="Cambria Math" w:eastAsia="Times New Roman" w:hAnsi="Cambria Math" w:cs="Times New Roman"/>
                  <w:i/>
                  <w:iCs/>
                  <w:sz w:val="24"/>
                  <w:szCs w:val="24"/>
                </w:rPr>
              </m:ctrlPr>
            </m:radPr>
            <m:deg/>
            <m:e>
              <m:nary>
                <m:naryPr>
                  <m:chr m:val="∑"/>
                  <m:limLoc m:val="undOvr"/>
                  <m:ctrlPr>
                    <w:rPr>
                      <w:rFonts w:ascii="Cambria Math" w:eastAsia="Times New Roman" w:hAnsi="Cambria Math" w:cs="Times New Roman"/>
                      <w:i/>
                      <w:iCs/>
                      <w:sz w:val="24"/>
                      <w:szCs w:val="24"/>
                    </w:rPr>
                  </m:ctrlPr>
                </m:naryPr>
                <m:sub>
                  <m:r>
                    <w:rPr>
                      <w:rFonts w:ascii="Cambria Math" w:eastAsia="Times New Roman" w:hAnsi="Cambria Math" w:cs="Times New Roman"/>
                      <w:sz w:val="24"/>
                      <w:szCs w:val="24"/>
                    </w:rPr>
                    <m:t>j=1</m:t>
                  </m:r>
                </m:sub>
                <m:sup>
                  <m:r>
                    <w:rPr>
                      <w:rFonts w:ascii="Cambria Math" w:eastAsia="Times New Roman" w:hAnsi="Cambria Math" w:cs="Times New Roman"/>
                      <w:sz w:val="24"/>
                      <w:szCs w:val="24"/>
                    </w:rPr>
                    <m:t>3</m:t>
                  </m:r>
                </m:sup>
                <m:e>
                  <m:r>
                    <w:rPr>
                      <w:rFonts w:ascii="Cambria Math" w:eastAsia="Times New Roman" w:hAnsi="Cambria Math" w:cs="Times New Roman"/>
                      <w:sz w:val="24"/>
                      <w:szCs w:val="24"/>
                    </w:rPr>
                    <m:t>​</m:t>
                  </m:r>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m:t>
                      </m:r>
                      <w:bookmarkStart w:id="7" w:name="_Hlk238208841"/>
                      <m:sSub>
                        <m:sSubPr>
                          <m:ctrlPr>
                            <w:rPr>
                              <w:rFonts w:ascii="Cambria Math" w:eastAsia="Times New Roman" w:hAnsi="Cambria Math" w:cs="Times New Roman"/>
                              <w:i/>
                              <w:iCs/>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ij</m:t>
                          </m:r>
                        </m:sub>
                      </m:sSub>
                      <w:bookmarkEnd w:id="7"/>
                      <m:r>
                        <w:rPr>
                          <w:rFonts w:ascii="Cambria Math" w:eastAsia="Times New Roman" w:hAnsi="Cambria Math" w:cs="Times New Roman"/>
                          <w:sz w:val="24"/>
                          <w:szCs w:val="24"/>
                        </w:rPr>
                        <m:t>​-</m:t>
                      </m:r>
                      <w:bookmarkStart w:id="8" w:name="_Hlk238209039"/>
                      <m:sSub>
                        <m:sSubPr>
                          <m:ctrlPr>
                            <w:rPr>
                              <w:rFonts w:ascii="Cambria Math" w:eastAsia="Times New Roman" w:hAnsi="Cambria Math" w:cs="Times New Roman"/>
                              <w:i/>
                              <w:iCs/>
                              <w:sz w:val="24"/>
                              <w:szCs w:val="24"/>
                            </w:rPr>
                          </m:ctrlPr>
                        </m:sSubPr>
                        <m:e>
                          <m:acc>
                            <m:accPr>
                              <m:chr m:val="̅"/>
                              <m:ctrlPr>
                                <w:rPr>
                                  <w:rFonts w:ascii="Cambria Math" w:eastAsia="Times New Roman" w:hAnsi="Cambria Math" w:cs="Times New Roman"/>
                                  <w:i/>
                                  <w:iCs/>
                                  <w:sz w:val="24"/>
                                  <w:szCs w:val="24"/>
                                </w:rPr>
                              </m:ctrlPr>
                            </m:accPr>
                            <m:e>
                              <w:bookmarkStart w:id="9" w:name="_Hlk238208916"/>
                              <m:r>
                                <w:rPr>
                                  <w:rFonts w:ascii="Cambria Math" w:eastAsia="Times New Roman" w:hAnsi="Cambria Math" w:cs="Times New Roman"/>
                                  <w:sz w:val="24"/>
                                  <w:szCs w:val="24"/>
                                </w:rPr>
                                <m:t>z</m:t>
                              </m:r>
                              <w:bookmarkEnd w:id="9"/>
                            </m:e>
                          </m:acc>
                          <m:r>
                            <w:rPr>
                              <w:rFonts w:ascii="Cambria Math" w:eastAsia="Times New Roman" w:hAnsi="Cambria Math" w:cs="Times New Roman"/>
                              <w:sz w:val="24"/>
                              <w:szCs w:val="24"/>
                            </w:rPr>
                            <m:t>​</m:t>
                          </m:r>
                        </m:e>
                        <m:sub>
                          <m:r>
                            <w:rPr>
                              <w:rFonts w:ascii="Cambria Math" w:eastAsia="Times New Roman" w:hAnsi="Cambria Math" w:cs="Times New Roman"/>
                              <w:sz w:val="24"/>
                              <w:szCs w:val="24"/>
                            </w:rPr>
                            <m:t>j</m:t>
                          </m:r>
                        </m:sub>
                      </m:sSub>
                      <w:bookmarkEnd w:id="8"/>
                      <m:r>
                        <w:rPr>
                          <w:rFonts w:ascii="Cambria Math" w:eastAsia="Times New Roman" w:hAnsi="Cambria Math" w:cs="Times New Roman"/>
                          <w:sz w:val="24"/>
                          <w:szCs w:val="24"/>
                        </w:rPr>
                        <m:t>)</m:t>
                      </m:r>
                    </m:e>
                    <m:sup>
                      <m:r>
                        <w:rPr>
                          <w:rFonts w:ascii="Cambria Math" w:eastAsia="Times New Roman" w:hAnsi="Cambria Math" w:cs="Times New Roman"/>
                          <w:sz w:val="24"/>
                          <w:szCs w:val="24"/>
                        </w:rPr>
                        <m:t>2</m:t>
                      </m:r>
                    </m:sup>
                  </m:sSup>
                </m:e>
              </m:nary>
            </m:e>
          </m:rad>
        </m:oMath>
      </m:oMathPara>
    </w:p>
    <w:p w14:paraId="05A54C76" w14:textId="184E66F3"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where (</w:t>
      </w:r>
      <m:oMath>
        <m:sSub>
          <m:sSubPr>
            <m:ctrlPr>
              <w:rPr>
                <w:rFonts w:ascii="Cambria Math" w:eastAsia="Times New Roman" w:hAnsi="Cambria Math" w:cs="Times New Roman"/>
                <w:i/>
                <w:iCs/>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ij</m:t>
            </m:r>
          </m:sub>
        </m:sSub>
      </m:oMath>
      <w:r w:rsidRPr="003143EB">
        <w:rPr>
          <w:rFonts w:ascii="Times New Roman" w:eastAsia="Times New Roman" w:hAnsi="Times New Roman" w:cs="Times New Roman"/>
          <w:sz w:val="24"/>
          <w:szCs w:val="24"/>
        </w:rPr>
        <w:t xml:space="preserve">) represents the score of </w:t>
      </w:r>
      <w:proofErr w:type="gramStart"/>
      <w:r w:rsidRPr="003143EB">
        <w:rPr>
          <w:rFonts w:ascii="Times New Roman" w:eastAsia="Times New Roman" w:hAnsi="Times New Roman" w:cs="Times New Roman"/>
          <w:sz w:val="24"/>
          <w:szCs w:val="24"/>
        </w:rPr>
        <w:t>pixel</w:t>
      </w:r>
      <w:proofErr w:type="gramEnd"/>
      <w:r w:rsidRPr="003143EB">
        <w:rPr>
          <w:rFonts w:ascii="Times New Roman" w:eastAsia="Times New Roman" w:hAnsi="Times New Roman" w:cs="Times New Roman"/>
          <w:sz w:val="24"/>
          <w:szCs w:val="24"/>
        </w:rPr>
        <w:t xml:space="preserve"> (i) on principal component (j), and </w:t>
      </w:r>
      <m:oMath>
        <m:sSub>
          <m:sSubPr>
            <m:ctrlPr>
              <w:rPr>
                <w:rFonts w:ascii="Cambria Math" w:eastAsia="Times New Roman" w:hAnsi="Cambria Math" w:cs="Times New Roman"/>
                <w:i/>
                <w:iCs/>
                <w:sz w:val="24"/>
                <w:szCs w:val="24"/>
              </w:rPr>
            </m:ctrlPr>
          </m:sSubPr>
          <m:e>
            <m:r>
              <w:rPr>
                <w:rFonts w:ascii="Cambria Math" w:eastAsia="Times New Roman" w:hAnsi="Cambria Math" w:cs="Times New Roman"/>
                <w:sz w:val="24"/>
                <w:szCs w:val="24"/>
              </w:rPr>
              <m:t>(</m:t>
            </m:r>
            <m:acc>
              <m:accPr>
                <m:chr m:val="̅"/>
                <m:ctrlPr>
                  <w:rPr>
                    <w:rFonts w:ascii="Cambria Math" w:eastAsia="Times New Roman" w:hAnsi="Cambria Math" w:cs="Times New Roman"/>
                    <w:i/>
                    <w:iCs/>
                    <w:sz w:val="24"/>
                    <w:szCs w:val="24"/>
                  </w:rPr>
                </m:ctrlPr>
              </m:accPr>
              <m:e>
                <m:r>
                  <w:rPr>
                    <w:rFonts w:ascii="Cambria Math" w:eastAsia="Times New Roman" w:hAnsi="Cambria Math" w:cs="Times New Roman"/>
                    <w:sz w:val="24"/>
                    <w:szCs w:val="24"/>
                  </w:rPr>
                  <m:t>z</m:t>
                </m:r>
              </m:e>
            </m:acc>
            <m:r>
              <w:rPr>
                <w:rFonts w:ascii="Cambria Math" w:eastAsia="Times New Roman" w:hAnsi="Cambria Math" w:cs="Times New Roman"/>
                <w:sz w:val="24"/>
                <w:szCs w:val="24"/>
              </w:rPr>
              <m:t>​</m:t>
            </m:r>
          </m:e>
          <m:sub>
            <m:r>
              <w:rPr>
                <w:rFonts w:ascii="Cambria Math" w:eastAsia="Times New Roman" w:hAnsi="Cambria Math" w:cs="Times New Roman"/>
                <w:sz w:val="24"/>
                <w:szCs w:val="24"/>
              </w:rPr>
              <m:t>j</m:t>
            </m:r>
          </m:sub>
        </m:sSub>
      </m:oMath>
      <w:r w:rsidRPr="003143EB">
        <w:rPr>
          <w:rFonts w:ascii="Times New Roman" w:eastAsia="Times New Roman" w:hAnsi="Times New Roman" w:cs="Times New Roman"/>
          <w:sz w:val="24"/>
          <w:szCs w:val="24"/>
        </w:rPr>
        <w:t>) represents the centroid score for that component</w:t>
      </w:r>
      <w:r w:rsidR="00C10ADA">
        <w:rPr>
          <w:rFonts w:ascii="Times New Roman" w:eastAsia="Times New Roman" w:hAnsi="Times New Roman" w:cs="Times New Roman"/>
          <w:sz w:val="24"/>
          <w:szCs w:val="24"/>
        </w:rPr>
        <w:t>.</w:t>
      </w:r>
    </w:p>
    <w:p w14:paraId="3172F2A8"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The mean of these distances was used as the PCA </w:t>
      </w:r>
      <w:proofErr w:type="gramStart"/>
      <w:r w:rsidRPr="003143EB">
        <w:rPr>
          <w:rFonts w:ascii="Times New Roman" w:eastAsia="Times New Roman" w:hAnsi="Times New Roman" w:cs="Times New Roman"/>
          <w:sz w:val="24"/>
          <w:szCs w:val="24"/>
        </w:rPr>
        <w:t>mean</w:t>
      </w:r>
      <w:proofErr w:type="gramEnd"/>
      <w:r w:rsidRPr="003143EB">
        <w:rPr>
          <w:rFonts w:ascii="Times New Roman" w:eastAsia="Times New Roman" w:hAnsi="Times New Roman" w:cs="Times New Roman"/>
          <w:sz w:val="24"/>
          <w:szCs w:val="24"/>
        </w:rPr>
        <w:t xml:space="preserve"> Euclidean distance. This metric represents the average multivariate spectral departure of pixels from the center of the spectral distribution within a quadrat. The calculation was performed separately for the raw and vector-normalized PCA spaces.</w:t>
      </w:r>
    </w:p>
    <w:p w14:paraId="21D3DBD1"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b/>
          <w:bCs/>
          <w:sz w:val="24"/>
          <w:szCs w:val="24"/>
        </w:rPr>
      </w:pPr>
      <w:r w:rsidRPr="003143EB">
        <w:rPr>
          <w:rFonts w:ascii="Times New Roman" w:eastAsia="Times New Roman" w:hAnsi="Times New Roman" w:cs="Times New Roman"/>
          <w:b/>
          <w:bCs/>
          <w:sz w:val="24"/>
          <w:szCs w:val="24"/>
        </w:rPr>
        <w:t>2.7.3. Spectral Rao's Q</w:t>
      </w:r>
    </w:p>
    <w:p w14:paraId="57A4B106"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Spectral Rao's Q was calculated using the same PC1 to PC3 scores and quadrat centroid used for the mean Euclidean distance. Because all retained pixels were assigned equal weight, Rao's Q was calculated as</w:t>
      </w:r>
    </w:p>
    <w:p w14:paraId="642813AF"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vertAlign w:val="subscript"/>
        </w:rPr>
      </w:pPr>
      <m:oMathPara>
        <m:oMath>
          <m:r>
            <w:rPr>
              <w:rFonts w:ascii="Cambria Math" w:eastAsia="Times New Roman" w:hAnsi="Cambria Math" w:cs="Times New Roman"/>
              <w:sz w:val="24"/>
              <w:szCs w:val="24"/>
              <w:vertAlign w:val="subscript"/>
            </w:rPr>
            <m:t>Q=2</m:t>
          </m:r>
          <m:acc>
            <m:accPr>
              <m:chr m:val="̅"/>
              <m:ctrlPr>
                <w:rPr>
                  <w:rFonts w:ascii="Cambria Math" w:eastAsia="Times New Roman" w:hAnsi="Cambria Math" w:cs="Times New Roman"/>
                  <w:i/>
                  <w:sz w:val="24"/>
                  <w:szCs w:val="24"/>
                  <w:vertAlign w:val="subscript"/>
                </w:rPr>
              </m:ctrlPr>
            </m:accPr>
            <m:e>
              <w:bookmarkStart w:id="10" w:name="_Hlk238209818"/>
              <m:sSubSup>
                <m:sSubSupPr>
                  <m:ctrlPr>
                    <w:rPr>
                      <w:rFonts w:ascii="Cambria Math" w:eastAsia="Times New Roman" w:hAnsi="Cambria Math" w:cs="Times New Roman"/>
                      <w:i/>
                      <w:sz w:val="24"/>
                      <w:szCs w:val="24"/>
                      <w:vertAlign w:val="subscript"/>
                    </w:rPr>
                  </m:ctrlPr>
                </m:sSubSupPr>
                <m:e>
                  <m:r>
                    <w:rPr>
                      <w:rFonts w:ascii="Cambria Math" w:eastAsia="Times New Roman" w:hAnsi="Cambria Math" w:cs="Times New Roman"/>
                      <w:sz w:val="24"/>
                      <w:szCs w:val="24"/>
                      <w:vertAlign w:val="subscript"/>
                    </w:rPr>
                    <m:t>d</m:t>
                  </m:r>
                </m:e>
                <m:sub>
                  <m:r>
                    <w:rPr>
                      <w:rFonts w:ascii="Cambria Math" w:eastAsia="Times New Roman" w:hAnsi="Cambria Math" w:cs="Times New Roman"/>
                      <w:sz w:val="24"/>
                      <w:szCs w:val="24"/>
                      <w:vertAlign w:val="subscript"/>
                    </w:rPr>
                    <m:t>i</m:t>
                  </m:r>
                </m:sub>
                <m:sup>
                  <m:r>
                    <w:rPr>
                      <w:rFonts w:ascii="Cambria Math" w:eastAsia="Times New Roman" w:hAnsi="Cambria Math" w:cs="Times New Roman"/>
                      <w:sz w:val="24"/>
                      <w:szCs w:val="24"/>
                      <w:vertAlign w:val="subscript"/>
                    </w:rPr>
                    <m:t>2</m:t>
                  </m:r>
                </m:sup>
              </m:sSubSup>
              <w:bookmarkEnd w:id="10"/>
            </m:e>
          </m:acc>
        </m:oMath>
      </m:oMathPara>
    </w:p>
    <w:p w14:paraId="70881EFA"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where (</w:t>
      </w:r>
      <m:oMath>
        <m:sSubSup>
          <m:sSubSupPr>
            <m:ctrlPr>
              <w:rPr>
                <w:rFonts w:ascii="Cambria Math" w:eastAsia="Times New Roman" w:hAnsi="Cambria Math" w:cs="Times New Roman"/>
                <w:i/>
                <w:sz w:val="24"/>
                <w:szCs w:val="24"/>
                <w:vertAlign w:val="subscript"/>
              </w:rPr>
            </m:ctrlPr>
          </m:sSubSupPr>
          <m:e>
            <m:r>
              <w:rPr>
                <w:rFonts w:ascii="Cambria Math" w:eastAsia="Times New Roman" w:hAnsi="Cambria Math" w:cs="Times New Roman"/>
                <w:sz w:val="24"/>
                <w:szCs w:val="24"/>
                <w:vertAlign w:val="subscript"/>
              </w:rPr>
              <m:t>d</m:t>
            </m:r>
          </m:e>
          <m:sub>
            <m:r>
              <w:rPr>
                <w:rFonts w:ascii="Cambria Math" w:eastAsia="Times New Roman" w:hAnsi="Cambria Math" w:cs="Times New Roman"/>
                <w:sz w:val="24"/>
                <w:szCs w:val="24"/>
                <w:vertAlign w:val="subscript"/>
              </w:rPr>
              <m:t>i</m:t>
            </m:r>
          </m:sub>
          <m:sup>
            <m:r>
              <w:rPr>
                <w:rFonts w:ascii="Cambria Math" w:eastAsia="Times New Roman" w:hAnsi="Cambria Math" w:cs="Times New Roman"/>
                <w:sz w:val="24"/>
                <w:szCs w:val="24"/>
                <w:vertAlign w:val="subscript"/>
              </w:rPr>
              <m:t>2</m:t>
            </m:r>
          </m:sup>
        </m:sSubSup>
      </m:oMath>
      <w:r w:rsidRPr="003143EB">
        <w:rPr>
          <w:rFonts w:ascii="Times New Roman" w:eastAsia="Times New Roman" w:hAnsi="Times New Roman" w:cs="Times New Roman"/>
          <w:sz w:val="24"/>
          <w:szCs w:val="24"/>
        </w:rPr>
        <w:t>) is the squared Euclidean distance between each pixel and the quadrat centroid.</w:t>
      </w:r>
    </w:p>
    <w:p w14:paraId="31194712"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equally weighted observations in Euclidean space, this centroid-based formulation is equivalent to the mean pairwise squared Euclidean distance among pixels. The centroid formulation was used instead of calculating the complete pairwise distance matrix because the number of pixel pairs becomes very large for the 20 and 50 m quadrats. Rao's Q was calculated independently in raw and vector-normalized PCA space.</w:t>
      </w:r>
    </w:p>
    <w:p w14:paraId="31C846E5"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b/>
          <w:bCs/>
          <w:sz w:val="24"/>
          <w:szCs w:val="24"/>
        </w:rPr>
      </w:pPr>
      <w:r w:rsidRPr="003143EB">
        <w:rPr>
          <w:rFonts w:ascii="Times New Roman" w:eastAsia="Times New Roman" w:hAnsi="Times New Roman" w:cs="Times New Roman"/>
          <w:b/>
          <w:bCs/>
          <w:sz w:val="24"/>
          <w:szCs w:val="24"/>
        </w:rPr>
        <w:t>2.7.4. PCA Alpha-Hull Area</w:t>
      </w:r>
    </w:p>
    <w:p w14:paraId="6B54925C"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lastRenderedPageBreak/>
        <w:t xml:space="preserve">Alpha-hull area was calculated from the PC1 and PC2 scores of retained pixels to quantify the area of spectral space occupied within each quadrat. Alpha-hulls were calculated using the </w:t>
      </w:r>
      <w:proofErr w:type="spellStart"/>
      <w:r w:rsidRPr="003143EB">
        <w:rPr>
          <w:rFonts w:ascii="Times New Roman" w:eastAsia="Times New Roman" w:hAnsi="Times New Roman" w:cs="Times New Roman"/>
          <w:sz w:val="24"/>
          <w:szCs w:val="24"/>
        </w:rPr>
        <w:t>alphahull</w:t>
      </w:r>
      <w:proofErr w:type="spellEnd"/>
      <w:r w:rsidRPr="003143EB">
        <w:rPr>
          <w:rFonts w:ascii="Times New Roman" w:eastAsia="Times New Roman" w:hAnsi="Times New Roman" w:cs="Times New Roman"/>
          <w:sz w:val="24"/>
          <w:szCs w:val="24"/>
        </w:rPr>
        <w:t xml:space="preserve"> R package with an alpha parameter of 1.</w:t>
      </w:r>
    </w:p>
    <w:p w14:paraId="267FC51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quadrats containing more pixels than could be processed using the full pixel set, pixels were sampled according to the predefined sampling procedure. The number of pixels used and the calculation method were retained as metadata for each quadrat. Alpha-hull area was calculated in both raw PCA space and vector-normalized PCA space.</w:t>
      </w:r>
    </w:p>
    <w:p w14:paraId="0EB8CBF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quadrats containing more pixels than could be processed using the full pixel set, pixels were sampled according to the predefined sampling procedure. The number of pixels used and the calculation method were retained as metadata for each quadrat. Alpha-hull area was calculated in both raw PCA space and vector-normalized PCA space using an alpha parameter of alpha = 1.  The alpha-hull workflow used all unique retained PC1-PC2 points when n &lt;= 10,000. For quadrats containing more than 10,000 unique points, 10,000 points were sampled using a deterministic quadrat-specific seed.</w:t>
      </w:r>
    </w:p>
    <w:p w14:paraId="62757694"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2.8. Illumination Variables</w:t>
      </w:r>
    </w:p>
    <w:p w14:paraId="4F53004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Illumination variables were calculated for each quadrat to characterize potential sources of variation in canopy spectral measurements. Brightness variables were calculated from the same retained sunlit pixels used to calculate spectral heterogeneity, using the same 563 nm shadow-mask threshold. For each retained pixel, reflectance was averaged across the spectral bands within four wavelength regions: blue (450–495 nm), green (500–570 nm), red (620–750 nm), and near-infrared (750–998 nm). These pixel-level regional means were then averaged across all retained sunlit pixels within each quadrat to obtain quadrat-level brightness variables. These measurements provided estimates of overall and regional canopy reflectance that could be used to evaluate the relationship between spectral heterogeneity and illumination or brightness.</w:t>
      </w:r>
    </w:p>
    <w:p w14:paraId="3E3E8EF1"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2.9. Integration of Quadrat-Level Data</w:t>
      </w:r>
    </w:p>
    <w:p w14:paraId="00FE83A7"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Species diversity, phylogenetic diversity, spectral heterogeneity, environmental variables, and quadrat centroid coordinates were combined into a single analytical dataset for each spatial grain. Quadrat centroids were expressed as easting and northing coordinates in NAD83 / UTM Zone 16N.</w:t>
      </w:r>
    </w:p>
    <w:p w14:paraId="3F0D57D0"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The integrated datasets were used for all scale-specific correlation, regression, spatial, and driver analyses. Data describing pixel counts, pair counts, bootstrap iterations, processing methods, geometric attributes, and species-level composition were retained in supporting datasets but were not included as variables in the primary quadrat-level statistical analyses.</w:t>
      </w:r>
    </w:p>
    <w:bookmarkEnd w:id="0"/>
    <w:p w14:paraId="7DEE9E9A"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2.10. Spectral-Biodiversity Relationships</w:t>
      </w:r>
    </w:p>
    <w:p w14:paraId="46476FA8"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Relationships between spectral heterogeneity and biodiversity were evaluated independently at the 10, 20, and 50 m spatial grains. Seven biodiversity measures were considered, including </w:t>
      </w:r>
      <w:r w:rsidRPr="003143EB">
        <w:rPr>
          <w:rFonts w:ascii="Times New Roman" w:eastAsia="Times New Roman" w:hAnsi="Times New Roman" w:cs="Times New Roman"/>
          <w:sz w:val="24"/>
          <w:szCs w:val="24"/>
        </w:rPr>
        <w:lastRenderedPageBreak/>
        <w:t>species richness, Shannon diversity, Simpson diversity, species evenness, Faith's phylogenetic diversity, phylogenetic Rao's Q, and abundance-weighted Faith's phylogenetic diversity.</w:t>
      </w:r>
    </w:p>
    <w:p w14:paraId="3D9367A8"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Six PCA-based spectral heterogeneity measures were evaluated in the broad spectral-biodiversity analysis, including raw PCA alpha-hull area, raw PCA Rao's Q, raw PCA mean Euclidean distance, vector-normalized PCA alpha-hull area, vector-normalized PCA Rao's Q, and vector-normalized PCA mean Euclidean distance.</w:t>
      </w:r>
    </w:p>
    <w:p w14:paraId="5AFC79E3"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each combination of spatial scale, spectral metric, and biodiversity metric, a simple linear regression was fitted with spectral heterogeneity as the response variable and biodiversity as the explanatory variable. Pearson's correlation coefficient, coefficient of determination (r</w:t>
      </w:r>
      <w:r w:rsidRPr="003143EB">
        <w:rPr>
          <w:rFonts w:ascii="Times New Roman" w:eastAsia="Times New Roman" w:hAnsi="Times New Roman" w:cs="Times New Roman"/>
          <w:sz w:val="24"/>
          <w:szCs w:val="24"/>
          <w:vertAlign w:val="superscript"/>
        </w:rPr>
        <w:t>2</w:t>
      </w:r>
      <w:r w:rsidRPr="003143EB">
        <w:rPr>
          <w:rFonts w:ascii="Times New Roman" w:eastAsia="Times New Roman" w:hAnsi="Times New Roman" w:cs="Times New Roman"/>
          <w:sz w:val="24"/>
          <w:szCs w:val="24"/>
        </w:rPr>
        <w:t xml:space="preserve">), F statistic, model </w:t>
      </w:r>
      <w:r w:rsidRPr="003143EB">
        <w:rPr>
          <w:rFonts w:ascii="Times New Roman" w:eastAsia="Times New Roman" w:hAnsi="Times New Roman" w:cs="Times New Roman"/>
          <w:i/>
          <w:iCs/>
          <w:sz w:val="24"/>
          <w:szCs w:val="24"/>
        </w:rPr>
        <w:t>p</w:t>
      </w:r>
      <w:r w:rsidRPr="003143EB">
        <w:rPr>
          <w:rFonts w:ascii="Times New Roman" w:eastAsia="Times New Roman" w:hAnsi="Times New Roman" w:cs="Times New Roman"/>
          <w:sz w:val="24"/>
          <w:szCs w:val="24"/>
        </w:rPr>
        <w:t>-value, slope, intercept, and sample size were calculated for each relationship.</w:t>
      </w:r>
    </w:p>
    <w:p w14:paraId="22DCDBD9"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Each relationship was evaluated using complete cases for the corresponding pair of variables. No missing values were imputed. Thus, sample size could vary among relationships because of upstream spectral exclusions, missing biodiversity measurements, insufficient retained pixels, or conditions preventing calculation of a particular spectral metric.</w:t>
      </w:r>
    </w:p>
    <w:p w14:paraId="0DEADA45"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2.11. Relationships Among Biodiversity Metrics</w:t>
      </w:r>
    </w:p>
    <w:p w14:paraId="05C432A8"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Relationships among species and phylogenetic diversity measures were evaluated separately from the spectral-biodiversity analyses. The four species diversity measures were compared with the three phylogenetic diversity measures within each spatial grain.</w:t>
      </w:r>
    </w:p>
    <w:p w14:paraId="52D8033D"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Pairwise correlations were calculated using complete cases. </w:t>
      </w:r>
      <w:commentRangeStart w:id="11"/>
      <w:r w:rsidRPr="003143EB">
        <w:rPr>
          <w:rFonts w:ascii="Times New Roman" w:eastAsia="Times New Roman" w:hAnsi="Times New Roman" w:cs="Times New Roman"/>
          <w:sz w:val="24"/>
          <w:szCs w:val="24"/>
        </w:rPr>
        <w:t>Species composition was also characterized from species presence and absence data using clustering and silhouette-based summaries. Species composition groups were used as contextual variables in subsequent analyses of biodiversity and spectral heterogeneity.</w:t>
      </w:r>
      <w:commentRangeEnd w:id="11"/>
      <w:r w:rsidRPr="003143EB">
        <w:rPr>
          <w:sz w:val="16"/>
          <w:szCs w:val="16"/>
        </w:rPr>
        <w:commentReference w:id="11"/>
      </w:r>
    </w:p>
    <w:p w14:paraId="44011B71"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The number of species present and total crown-equivalent abundance were calculated for each quadrat from the canopy-weighted abundance matrix. Standardized interaction models were used to evaluate whether relationships among biodiversity metrics varied with species count or crown-equivalent abundance. Interaction terms were adjusted using the </w:t>
      </w:r>
      <w:proofErr w:type="spellStart"/>
      <w:r w:rsidRPr="003143EB">
        <w:rPr>
          <w:rFonts w:ascii="Times New Roman" w:eastAsia="Times New Roman" w:hAnsi="Times New Roman" w:cs="Times New Roman"/>
          <w:sz w:val="24"/>
          <w:szCs w:val="24"/>
        </w:rPr>
        <w:t>Benjamini</w:t>
      </w:r>
      <w:proofErr w:type="spellEnd"/>
      <w:r w:rsidRPr="003143EB">
        <w:rPr>
          <w:rFonts w:ascii="Times New Roman" w:eastAsia="Times New Roman" w:hAnsi="Times New Roman" w:cs="Times New Roman"/>
          <w:sz w:val="24"/>
          <w:szCs w:val="24"/>
        </w:rPr>
        <w:t>-Hochberg procedure. Moderation by species count was not evaluated when species richness was already one of the variables in the relationship.</w:t>
      </w:r>
    </w:p>
    <w:p w14:paraId="7986A78C"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commentRangeStart w:id="12"/>
      <w:r w:rsidRPr="003143EB">
        <w:rPr>
          <w:rFonts w:ascii="Times New Roman" w:eastAsia="Times New Roman" w:hAnsi="Times New Roman" w:cs="Times New Roman"/>
          <w:b/>
          <w:bCs/>
          <w:sz w:val="27"/>
          <w:szCs w:val="27"/>
        </w:rPr>
        <w:t>2.12. Relationships Among Spectral Metrics and Environmental Drivers</w:t>
      </w:r>
      <w:commentRangeEnd w:id="12"/>
      <w:r w:rsidRPr="003143EB">
        <w:rPr>
          <w:sz w:val="16"/>
          <w:szCs w:val="16"/>
        </w:rPr>
        <w:commentReference w:id="12"/>
      </w:r>
    </w:p>
    <w:p w14:paraId="3DD69C79"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Relationships among spectral heterogeneity metrics were evaluated within each spatial grain using complete cases for each pair of metrics. Pearson correlations and linear relationships were calculated among the spectral measures.</w:t>
      </w:r>
    </w:p>
    <w:p w14:paraId="6D3D961C"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Spectral heterogeneity was also evaluated in relation to environmental and canopy-context variables, including elevation, terrain-related variables, regional spectral brightness, species composition, species count, and crown-equivalent abundance. These analyses were used to </w:t>
      </w:r>
      <w:r w:rsidRPr="003143EB">
        <w:rPr>
          <w:rFonts w:ascii="Times New Roman" w:eastAsia="Times New Roman" w:hAnsi="Times New Roman" w:cs="Times New Roman"/>
          <w:sz w:val="24"/>
          <w:szCs w:val="24"/>
        </w:rPr>
        <w:lastRenderedPageBreak/>
        <w:t>characterize environmental, illumination, and compositional factors associated with variation in spectral heterogeneity.</w:t>
      </w:r>
    </w:p>
    <w:p w14:paraId="6EB4AD4D"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2.13. PCA Brightness and Loading Diagnostics</w:t>
      </w:r>
    </w:p>
    <w:p w14:paraId="24694A00"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Additional analyses were conducted to characterize the differences between the raw and vector-normalized PCA spaces.</w:t>
      </w:r>
    </w:p>
    <w:p w14:paraId="7648B28C"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For the first diagnostic, valid sunlit pixels from 50 m quadrats were sampled and mean reflectance across the spectral bands was calculated for each pixel. Mean reflectance was then compared with PC1, PC2, and PC3 scores from both PCA bases. Pearson correlations were calculated at the pixel and quadrat level.</w:t>
      </w:r>
    </w:p>
    <w:p w14:paraId="5DF688D0"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For the second diagnostic, PCA loading structures were compared between the raw and vector-normalized PCA bases. PC1 loadings were oriented so that their mean loading was positive and were compared with a uniform brightness vector defined as </w:t>
      </w:r>
      <m:oMath>
        <m:f>
          <m:fPr>
            <m:ctrlPr>
              <w:rPr>
                <w:rFonts w:ascii="Cambria Math" w:eastAsia="Times New Roman" w:hAnsi="Cambria Math" w:cs="Times New Roman"/>
                <w:i/>
                <w:sz w:val="24"/>
                <w:szCs w:val="24"/>
                <w:vertAlign w:val="subscript"/>
              </w:rPr>
            </m:ctrlPr>
          </m:fPr>
          <m:num>
            <m:r>
              <w:rPr>
                <w:rFonts w:ascii="Cambria Math" w:eastAsia="Times New Roman" w:hAnsi="Cambria Math" w:cs="Times New Roman"/>
                <w:sz w:val="24"/>
                <w:szCs w:val="24"/>
                <w:vertAlign w:val="subscript"/>
              </w:rPr>
              <m:t>1</m:t>
            </m:r>
          </m:num>
          <m:den>
            <m:rad>
              <m:radPr>
                <m:degHide m:val="1"/>
                <m:ctrlPr>
                  <w:rPr>
                    <w:rFonts w:ascii="Cambria Math" w:eastAsia="Times New Roman" w:hAnsi="Cambria Math" w:cs="Times New Roman"/>
                    <w:i/>
                    <w:sz w:val="24"/>
                    <w:szCs w:val="24"/>
                    <w:vertAlign w:val="subscript"/>
                  </w:rPr>
                </m:ctrlPr>
              </m:radPr>
              <m:deg/>
              <m:e>
                <m:r>
                  <w:rPr>
                    <w:rFonts w:ascii="Cambria Math" w:eastAsia="Times New Roman" w:hAnsi="Cambria Math" w:cs="Times New Roman"/>
                    <w:sz w:val="24"/>
                    <w:szCs w:val="24"/>
                    <w:vertAlign w:val="subscript"/>
                  </w:rPr>
                  <m:t>n</m:t>
                </m:r>
              </m:e>
            </m:rad>
          </m:den>
        </m:f>
      </m:oMath>
      <w:r w:rsidRPr="003143EB">
        <w:rPr>
          <w:rFonts w:ascii="Times New Roman" w:eastAsia="Times New Roman" w:hAnsi="Times New Roman" w:cs="Times New Roman"/>
          <w:sz w:val="24"/>
          <w:szCs w:val="24"/>
          <w:vertAlign w:val="subscript"/>
        </w:rPr>
        <w:t xml:space="preserve"> </w:t>
      </w:r>
      <w:r w:rsidRPr="003143EB">
        <w:rPr>
          <w:rFonts w:ascii="Times New Roman" w:eastAsia="Times New Roman" w:hAnsi="Times New Roman" w:cs="Times New Roman"/>
          <w:sz w:val="24"/>
          <w:szCs w:val="24"/>
        </w:rPr>
        <w:t>, where (n) represents the number of spectral bands. Wavelengths showing the largest departures from this reference vector were identified for PC1. For PC2, wavelengths with the largest absolute loading values were identified. Adjacent wavelengths at the 5 nm spectral interval were grouped into contiguous spectral regions.</w:t>
      </w:r>
    </w:p>
    <w:p w14:paraId="55EB7964"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These analyses were used to characterize how the PCA transformations represented overall brightness and spectral shape.</w:t>
      </w:r>
    </w:p>
    <w:p w14:paraId="459CC566"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2.14. Transformation Analyses</w:t>
      </w:r>
    </w:p>
    <w:p w14:paraId="2A4DAC41"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Transformation analyses were conducted to evaluate whether the strength and form of spectral-biodiversity relationships depended on the mathematical scale of the variables. Candidate transformations included the identity, logarithmic, log1p, square-root, inverse, fourth-root, square, Box-Cox, and Yeo-Johnson transformations where mathematically appropriate. For each transformed relationship, Pearson correlation, Spearman correlation, (r</w:t>
      </w:r>
      <w:r w:rsidRPr="003143EB">
        <w:rPr>
          <w:rFonts w:ascii="Times New Roman" w:eastAsia="Times New Roman" w:hAnsi="Times New Roman" w:cs="Times New Roman"/>
          <w:sz w:val="24"/>
          <w:szCs w:val="24"/>
          <w:vertAlign w:val="superscript"/>
        </w:rPr>
        <w:t>2</w:t>
      </w:r>
      <w:r w:rsidRPr="003143EB">
        <w:rPr>
          <w:rFonts w:ascii="Times New Roman" w:eastAsia="Times New Roman" w:hAnsi="Times New Roman" w:cs="Times New Roman"/>
          <w:sz w:val="24"/>
          <w:szCs w:val="24"/>
        </w:rPr>
        <w:t>), linear-model statistics, residual normality, and the relationship between absolute residuals and fitted values were calculated.</w:t>
      </w:r>
    </w:p>
    <w:p w14:paraId="00D5F70F"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A targeted power transformation analysis evaluated relationships using biodiversity squared. These analyses were used to assess the sensitivity of the observed relationships to nonlinear scaling rather than to replace the primary linear models.</w:t>
      </w:r>
    </w:p>
    <w:p w14:paraId="2B73ABD4"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2.15. Spatial Autocorrelation</w:t>
      </w:r>
    </w:p>
    <w:p w14:paraId="0F93B265" w14:textId="77777777"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Spatial autocorrelation was evaluated for selected spectral heterogeneity and biodiversity measures and for residuals from the corresponding spectral-biodiversity models. Spatial relationships were defined using quadrat centroid coordinates and an eight-nearest-neighbor spatial-weight structure.</w:t>
      </w:r>
    </w:p>
    <w:p w14:paraId="302F8B85" w14:textId="0EE863AE"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lastRenderedPageBreak/>
        <w:t>Moran's I was calculated within each spatial grain, with significance evaluated using 199 permutations. Variable-level spatial autocorrelation was evaluated for standardized PCA alpha-hull area, standardized PCA mean Euclidean distance, standardized PCA Rao's Q, phylogenetic Rao's Q, abundance-weighted Faith's phylogenetic diversity, and Shannon diversity. Residual spatial autocorrelation was evaluated after fitting scale-specific linear models between each standardized spectral metric and each phylogenetic metric.</w:t>
      </w:r>
      <w:r>
        <w:rPr>
          <w:rFonts w:ascii="Times New Roman" w:eastAsia="Times New Roman" w:hAnsi="Times New Roman" w:cs="Times New Roman"/>
          <w:sz w:val="24"/>
          <w:szCs w:val="24"/>
        </w:rPr>
        <w:t xml:space="preserve"> </w:t>
      </w:r>
      <w:proofErr w:type="gramStart"/>
      <w:r w:rsidRPr="003143EB">
        <w:rPr>
          <w:rFonts w:ascii="Times New Roman" w:eastAsia="Times New Roman" w:hAnsi="Times New Roman" w:cs="Times New Roman"/>
          <w:sz w:val="24"/>
          <w:szCs w:val="24"/>
        </w:rPr>
        <w:t>Spatial</w:t>
      </w:r>
      <w:proofErr w:type="gramEnd"/>
      <w:r w:rsidRPr="003143EB">
        <w:rPr>
          <w:rFonts w:ascii="Times New Roman" w:eastAsia="Times New Roman" w:hAnsi="Times New Roman" w:cs="Times New Roman"/>
          <w:sz w:val="24"/>
          <w:szCs w:val="24"/>
        </w:rPr>
        <w:t xml:space="preserve"> analyses were conducted in R using spatial-analysis packages “sf” and “</w:t>
      </w:r>
      <w:proofErr w:type="spellStart"/>
      <w:r w:rsidRPr="003143EB">
        <w:rPr>
          <w:rFonts w:ascii="Times New Roman" w:eastAsia="Times New Roman" w:hAnsi="Times New Roman" w:cs="Times New Roman"/>
          <w:sz w:val="24"/>
          <w:szCs w:val="24"/>
        </w:rPr>
        <w:t>spdep</w:t>
      </w:r>
      <w:proofErr w:type="spellEnd"/>
      <w:r w:rsidRPr="003143EB">
        <w:rPr>
          <w:rFonts w:ascii="Times New Roman" w:eastAsia="Times New Roman" w:hAnsi="Times New Roman" w:cs="Times New Roman"/>
          <w:sz w:val="24"/>
          <w:szCs w:val="24"/>
        </w:rPr>
        <w:t>”.</w:t>
      </w:r>
    </w:p>
    <w:p w14:paraId="2B083FB4" w14:textId="77777777" w:rsidR="003143EB" w:rsidRPr="003143EB" w:rsidRDefault="003143EB" w:rsidP="003143EB">
      <w:pPr>
        <w:spacing w:before="100" w:beforeAutospacing="1" w:after="100" w:afterAutospacing="1" w:line="240" w:lineRule="auto"/>
        <w:outlineLvl w:val="2"/>
        <w:rPr>
          <w:rFonts w:ascii="Times New Roman" w:eastAsia="Times New Roman" w:hAnsi="Times New Roman" w:cs="Times New Roman"/>
          <w:b/>
          <w:bCs/>
          <w:sz w:val="27"/>
          <w:szCs w:val="27"/>
        </w:rPr>
      </w:pPr>
      <w:r w:rsidRPr="003143EB">
        <w:rPr>
          <w:rFonts w:ascii="Times New Roman" w:eastAsia="Times New Roman" w:hAnsi="Times New Roman" w:cs="Times New Roman"/>
          <w:b/>
          <w:bCs/>
          <w:sz w:val="27"/>
          <w:szCs w:val="27"/>
        </w:rPr>
        <w:t>2.17. Statistical Software and Reproducibility</w:t>
      </w:r>
    </w:p>
    <w:p w14:paraId="76809811" w14:textId="6B32976F"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 xml:space="preserve">All data processing, spectral analyses, biodiversity calculations, spatial analyses, and statistical analyses were conducted in R version 4.2.3. Spatial data and raster operations were conducted using sf and terra. Data manipulation was conducted using </w:t>
      </w:r>
      <w:r>
        <w:rPr>
          <w:rFonts w:ascii="Times New Roman" w:eastAsia="Times New Roman" w:hAnsi="Times New Roman" w:cs="Times New Roman"/>
          <w:sz w:val="24"/>
          <w:szCs w:val="24"/>
        </w:rPr>
        <w:t>“</w:t>
      </w:r>
      <w:proofErr w:type="spellStart"/>
      <w:r w:rsidRPr="003143EB">
        <w:rPr>
          <w:rFonts w:ascii="Times New Roman" w:eastAsia="Times New Roman" w:hAnsi="Times New Roman" w:cs="Times New Roman"/>
          <w:sz w:val="24"/>
          <w:szCs w:val="24"/>
        </w:rPr>
        <w:t>dplyr</w:t>
      </w:r>
      <w:proofErr w:type="spellEnd"/>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proofErr w:type="spellStart"/>
      <w:r w:rsidRPr="003143EB">
        <w:rPr>
          <w:rFonts w:ascii="Times New Roman" w:eastAsia="Times New Roman" w:hAnsi="Times New Roman" w:cs="Times New Roman"/>
          <w:sz w:val="24"/>
          <w:szCs w:val="24"/>
        </w:rPr>
        <w:t>tidyr</w:t>
      </w:r>
      <w:proofErr w:type="spellEnd"/>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rPr>
        <w:t>“</w:t>
      </w:r>
      <w:proofErr w:type="spellStart"/>
      <w:r w:rsidRPr="003143EB">
        <w:rPr>
          <w:rFonts w:ascii="Times New Roman" w:eastAsia="Times New Roman" w:hAnsi="Times New Roman" w:cs="Times New Roman"/>
          <w:sz w:val="24"/>
          <w:szCs w:val="24"/>
        </w:rPr>
        <w:t>readr</w:t>
      </w:r>
      <w:proofErr w:type="spellEnd"/>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Spectral smoothing was conducted using </w:t>
      </w:r>
      <w:r>
        <w:rPr>
          <w:rFonts w:ascii="Times New Roman" w:eastAsia="Times New Roman" w:hAnsi="Times New Roman" w:cs="Times New Roman"/>
          <w:sz w:val="24"/>
          <w:szCs w:val="24"/>
        </w:rPr>
        <w:t>“</w:t>
      </w:r>
      <w:proofErr w:type="gramStart"/>
      <w:r w:rsidRPr="003143EB">
        <w:rPr>
          <w:rFonts w:ascii="Times New Roman" w:eastAsia="Times New Roman" w:hAnsi="Times New Roman" w:cs="Times New Roman"/>
          <w:sz w:val="24"/>
          <w:szCs w:val="24"/>
        </w:rPr>
        <w:t>signal::</w:t>
      </w:r>
      <w:proofErr w:type="spellStart"/>
      <w:proofErr w:type="gramEnd"/>
      <w:r w:rsidRPr="003143EB">
        <w:rPr>
          <w:rFonts w:ascii="Times New Roman" w:eastAsia="Times New Roman" w:hAnsi="Times New Roman" w:cs="Times New Roman"/>
          <w:sz w:val="24"/>
          <w:szCs w:val="24"/>
        </w:rPr>
        <w:t>sgolayfilt</w:t>
      </w:r>
      <w:proofErr w:type="spellEnd"/>
      <w:r w:rsidRPr="003143EB">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Phylogenetic analyses used </w:t>
      </w:r>
      <w:r>
        <w:rPr>
          <w:rFonts w:ascii="Times New Roman" w:eastAsia="Times New Roman" w:hAnsi="Times New Roman" w:cs="Times New Roman"/>
          <w:sz w:val="24"/>
          <w:szCs w:val="24"/>
        </w:rPr>
        <w:t>“</w:t>
      </w:r>
      <w:proofErr w:type="gramStart"/>
      <w:r w:rsidRPr="003143EB">
        <w:rPr>
          <w:rFonts w:ascii="Times New Roman" w:eastAsia="Times New Roman" w:hAnsi="Times New Roman" w:cs="Times New Roman"/>
          <w:sz w:val="24"/>
          <w:szCs w:val="24"/>
        </w:rPr>
        <w:t>V.PhyloMaker</w:t>
      </w:r>
      <w:proofErr w:type="gramEnd"/>
      <w:r w:rsidRPr="003143EB">
        <w:rPr>
          <w:rFonts w:ascii="Times New Roman" w:eastAsia="Times New Roman" w:hAnsi="Times New Roman" w:cs="Times New Roman"/>
          <w:sz w:val="24"/>
          <w:szCs w:val="24"/>
        </w:rPr>
        <w:t>2</w:t>
      </w:r>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ape</w:t>
      </w:r>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picante</w:t>
      </w:r>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xml:space="preserve">, and alpha-hull calculations used </w:t>
      </w:r>
      <w:r>
        <w:rPr>
          <w:rFonts w:ascii="Times New Roman" w:eastAsia="Times New Roman" w:hAnsi="Times New Roman" w:cs="Times New Roman"/>
          <w:sz w:val="24"/>
          <w:szCs w:val="24"/>
        </w:rPr>
        <w:t>“</w:t>
      </w:r>
      <w:proofErr w:type="spellStart"/>
      <w:r w:rsidRPr="003143EB">
        <w:rPr>
          <w:rFonts w:ascii="Times New Roman" w:eastAsia="Times New Roman" w:hAnsi="Times New Roman" w:cs="Times New Roman"/>
          <w:sz w:val="24"/>
          <w:szCs w:val="24"/>
        </w:rPr>
        <w:t>alphahull</w:t>
      </w:r>
      <w:proofErr w:type="spellEnd"/>
      <w:r>
        <w:rPr>
          <w:rFonts w:ascii="Times New Roman" w:eastAsia="Times New Roman" w:hAnsi="Times New Roman" w:cs="Times New Roman"/>
          <w:sz w:val="24"/>
          <w:szCs w:val="24"/>
        </w:rPr>
        <w:t>”</w:t>
      </w:r>
      <w:r w:rsidRPr="003143EB">
        <w:rPr>
          <w:rFonts w:ascii="Times New Roman" w:eastAsia="Times New Roman" w:hAnsi="Times New Roman" w:cs="Times New Roman"/>
          <w:sz w:val="24"/>
          <w:szCs w:val="24"/>
        </w:rPr>
        <w:t>. Additional statistical and spatial analyses were conducted using R statistical and spatial-analysis packages.</w:t>
      </w:r>
    </w:p>
    <w:p w14:paraId="22BCB33F" w14:textId="3ACD1AE0" w:rsidR="003143EB" w:rsidRPr="003143EB" w:rsidRDefault="003143EB" w:rsidP="003143EB">
      <w:pPr>
        <w:spacing w:before="100" w:beforeAutospacing="1" w:after="100" w:afterAutospacing="1" w:line="240" w:lineRule="auto"/>
        <w:rPr>
          <w:rFonts w:ascii="Times New Roman" w:eastAsia="Times New Roman" w:hAnsi="Times New Roman" w:cs="Times New Roman"/>
          <w:sz w:val="24"/>
          <w:szCs w:val="24"/>
        </w:rPr>
      </w:pPr>
      <w:r w:rsidRPr="003143EB">
        <w:rPr>
          <w:rFonts w:ascii="Times New Roman" w:eastAsia="Times New Roman" w:hAnsi="Times New Roman" w:cs="Times New Roman"/>
          <w:sz w:val="24"/>
          <w:szCs w:val="24"/>
        </w:rPr>
        <w:t>All analyses were implemented as reproducible R scripts. Intermediate data products and analytical summaries were retained to document the processing of field, spectral, biodiversity, and spatial data. The final analysis datasets were generated by joining scale-specific biodiversity, spectral, environmental, and spatial measurements at the quadrat level. Missing observations resulting from data-quality screening, illumination exclusions, insufficient retained pixels, or metric-specific calculation constraints were retained as missing values and were not imputed.</w:t>
      </w:r>
    </w:p>
    <w:p w14:paraId="172D5EAB" w14:textId="77777777" w:rsidR="00601210" w:rsidRPr="00601210" w:rsidRDefault="00601210" w:rsidP="00601210">
      <w:pPr>
        <w:spacing w:before="100" w:beforeAutospacing="1" w:after="100" w:afterAutospacing="1" w:line="240" w:lineRule="auto"/>
        <w:rPr>
          <w:rFonts w:ascii="Times New Roman" w:eastAsia="Times New Roman" w:hAnsi="Times New Roman" w:cs="Times New Roman"/>
          <w:sz w:val="24"/>
          <w:szCs w:val="24"/>
        </w:rPr>
      </w:pPr>
    </w:p>
    <w:p w14:paraId="3A6902B5" w14:textId="77777777" w:rsidR="00C10ADA" w:rsidRPr="003E7BE9" w:rsidRDefault="00C10ADA" w:rsidP="00C10ADA">
      <w:pPr>
        <w:spacing w:before="100" w:beforeAutospacing="1" w:after="100" w:afterAutospacing="1" w:line="240" w:lineRule="auto"/>
        <w:outlineLvl w:val="1"/>
        <w:rPr>
          <w:rFonts w:ascii="Times New Roman" w:eastAsia="Times New Roman" w:hAnsi="Times New Roman" w:cs="Times New Roman"/>
          <w:b/>
          <w:bCs/>
          <w:sz w:val="36"/>
          <w:szCs w:val="36"/>
        </w:rPr>
      </w:pPr>
      <w:r w:rsidRPr="003E7BE9">
        <w:rPr>
          <w:rFonts w:ascii="Times New Roman" w:eastAsia="Times New Roman" w:hAnsi="Times New Roman" w:cs="Times New Roman"/>
          <w:b/>
          <w:bCs/>
          <w:sz w:val="36"/>
          <w:szCs w:val="36"/>
        </w:rPr>
        <w:t>3. Results</w:t>
      </w:r>
    </w:p>
    <w:p w14:paraId="6999AF2C"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3.1 Spectral Heterogeneity Metrics</w:t>
      </w:r>
    </w:p>
    <w:p w14:paraId="47E20785"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three standardized PCA-based spectral heterogeneity metrics were strongly correlated across all three quadrat scales, although the strength of association differed among metrics. Standardized PCA alpha hull and standardized PCA mean distance showed the strongest concordance, with correlation coefficients increasing from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0.801 at 10 m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0.904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0.929 at 50 m. Standardized PCA mean distance and standardized PCA Rao's Q were also strongly correlated,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0.907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0.898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0.900 at 50 m. The relationship between standardized PCA alpha hull and standardized PCA Rao's Q was weaker, but increased consistently with quadrat size, from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0.553 at 10 m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0.658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0.722 at 50 m.</w:t>
      </w:r>
    </w:p>
    <w:p w14:paraId="45475FAB"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Overall, the three spectral heterogeneity metrics showed a common pattern of spectral variation, although alpha hull remained the most distinct metric. The strongest redundancy occurred between standardized PCA mean distance and standardized PCA Rao's Q, whereas alpha hull retained comparatively more independent variation, particularly at the 10 m and 20 m scales.</w:t>
      </w:r>
    </w:p>
    <w:p w14:paraId="5E2E019B"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lastRenderedPageBreak/>
        <w:t>3.2 Relationships Among Biodiversity Metrics</w:t>
      </w:r>
    </w:p>
    <w:p w14:paraId="26007306"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Biodiversity metrics separated into two broad patterns based on their relationships with one another</w:t>
      </w:r>
      <w:r>
        <w:rPr>
          <w:rFonts w:ascii="Times New Roman" w:eastAsia="Times New Roman" w:hAnsi="Times New Roman" w:cs="Times New Roman"/>
          <w:sz w:val="24"/>
          <w:szCs w:val="24"/>
        </w:rPr>
        <w:t xml:space="preserve"> (Table)</w:t>
      </w:r>
      <w:r w:rsidRPr="003E7BE9">
        <w:rPr>
          <w:rFonts w:ascii="Times New Roman" w:eastAsia="Times New Roman" w:hAnsi="Times New Roman" w:cs="Times New Roman"/>
          <w:sz w:val="24"/>
          <w:szCs w:val="24"/>
        </w:rPr>
        <w:t xml:space="preserve">. Shannon diversity and Simpson diversity were highly correlated at all three quadrat scales,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0.969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0.949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0.939 at 50 m. Species richness was also strongly associated with Shannon diversity, with correlation coefficients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0.824, 0.856, and 0.847 at 10, 20, and 50 m, respectively.</w:t>
      </w:r>
    </w:p>
    <w:p w14:paraId="7A496D3D"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Faith's PD was positively related to species richness across all scales, although the relationship was weaker than that between the conventional species-diversity metrics. Correlation coefficients increased from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0.710 at 10 m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0.727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0.761 at 50 m. Phylogenetic Rao's Q was also strongly associated with abundance-weighted Faith's PD,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0.750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0.742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0.688 at 50 m.</w:t>
      </w:r>
    </w:p>
    <w:p w14:paraId="6DF0C8F9"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In contrast, abundance-weighted Faith's PD became increasingly independent of Shannon diversity with increasing quadrat size. The relationship declined from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0.426 at 10 m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0.152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-0.120 at 50 m. Thus, abundance-weighted Faith's PD represented a substantially different component of biodiversity than Shannon diversity at the largest spatial grain.</w:t>
      </w:r>
    </w:p>
    <w:p w14:paraId="495AF690"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3.3 Scale-dependent Relationships Between PCA Spectral Heterogeneity and Biodiversity</w:t>
      </w:r>
    </w:p>
    <w:p w14:paraId="41B1C0C3"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Standardized PCA spectral heterogeneity metrics showed increasingly strong relationships with biodiversity as quadrat size increased. Across scales, the strongest relationships occurred with phylogenetic and abundance-weighted biodiversity metrics, whereas conventional species-diversity metrics showed weak or near-zero associations.</w:t>
      </w:r>
    </w:p>
    <w:p w14:paraId="5B3CD97F"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At the 10 m scale, standardized PCA alpha hull showed the strongest relationships with biodiversity. Abundance-weighted Faith's PD was positively associated with alpha hull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0.188,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0.035), followed by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0.177,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0.031) and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0.153,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0.023). Standardized PCA mean distance showed weaker but similar relationships, with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0.140,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0.020),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0.122,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0.015), and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0.119,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0.014) showing the strongest associations. Standardized PCA Rao's Q showed little positive association with the phylogenetic metrics at this scale, with its strongest absolute relationships occurring as weak negative correlations with species richness, Shannon diversity, and Simpson diversity.</w:t>
      </w:r>
    </w:p>
    <w:p w14:paraId="4870C31D"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relationships were stronger at the 20 m scale. Standardized PCA alpha hull remained the strongest spectral metric, with abundance-weighted Faith's PD showing a positive relationship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0.147) and phylogenetic Rao's Q showing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0.336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0.113). Standardized PCA mean distance was also positively associated with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0.301,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0.091),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0.274,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0.075), and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0.240,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0.058). Standardized PCA Rao's Q remained comparatively weak, with correlations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0.133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0.018) with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0.132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0.017) with phylogenetic Rao's Q,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0.123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0.015) with Faith's PD.</w:t>
      </w:r>
    </w:p>
    <w:p w14:paraId="28FA118B"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lastRenderedPageBreak/>
        <w:t>The strongest spectral-biodiversity relationships occurred at the 50 m scale. Standardized PCA alpha hull showed positive relationships with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0.497,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0.247) and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0.487,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0.238). Standardized PCA mean distance showed similarly strong relationships with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0.444,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0.197) and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0.419,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0.175). Standardized PCA Rao's Q showed weaker but positive relationships with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0.352,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0.124) and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0.272,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0.074).</w:t>
      </w:r>
    </w:p>
    <w:p w14:paraId="1C7FCB74"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Across all three PCA metrics, relationship strength increased consistently from 10 m to 20 m and 50 m. The largest increases occurred for standardized PCA alpha hull and mean distance, with the strongest 50 m relationships explaining approximately 18–25% of variation in the corresponding spectral heterogeneity metric.</w:t>
      </w:r>
    </w:p>
    <w:p w14:paraId="6DACDF54"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3.4 Species-Diversity Contrasts</w:t>
      </w:r>
    </w:p>
    <w:p w14:paraId="1C009094"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Conventional species-diversity metrics showed weak, near-zero, or inconsistent relationships with standardized PCA spectral heterogeneity. Shannon diversity provided the clearest contrast with the phylogenetic metrics. At 10 m, Shannon diversity was essentially unrelated to standardized PCA alpha hull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-0.025,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0.001), standardized PCA mean distance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-0.032,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0.001), and standardized PCA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-0.060,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0.004). Relationships remained similarly weak at 20 m,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-0.024, -0.036, and -0.061 for alpha hull, mean distance, and Rao's Q, respectively.</w:t>
      </w:r>
    </w:p>
    <w:p w14:paraId="5CB7495E"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At 50 m, Shannon diversity remained effectively unrelated to all three PCA metrics,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0.007 for alpha hull,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0.009 for mean distance,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0.035 for Rao's Q. This produced a strong contrast with the phylogenetic relationships observed at the same scale. Standardized PCA alpha hull was correlated with abundance-weighted Faith's PD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0.497 and phylogenetic Rao's Q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0.487, while its relationship with Shannon diversity was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0.007. Similarly, standardized PCA mean distance was correlated with phylogenetic Rao's Q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0.444 and abundance-weighted Faith's PD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0.419, but showed essentially no relationship with Shannon diversity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0.009).</w:t>
      </w:r>
    </w:p>
    <w:p w14:paraId="7E867F8D"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These results indicate that the strongest spectral relationships were associated with phylogenetic composition and abundance-weighted evolutionary diversity rather than conventional measures of species diversity.</w:t>
      </w:r>
    </w:p>
    <w:p w14:paraId="08D82D5A"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3.5 Comparison of Raw and Vector-normalized PCA</w:t>
      </w:r>
    </w:p>
    <w:p w14:paraId="6850832D"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The raw and vector-normalized PCA ordinations differed substantially in the amount of variation concentrated in their leading axes. In the raw PCA, PC1 explained 66.2% of spectral variation and the first two PCs explained 87.0%. In the vector-normalized PCA, PC1 explained 45.5% and the first two PCs explained 68.0%.</w:t>
      </w:r>
    </w:p>
    <w:p w14:paraId="73C53900"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The relationship between PC1 and mean reflectance also differed substantially between the two PCA representations. At 50 m, raw PC1 was strongly correlated with mean reflectance at both the pixel level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0.893,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0.798) and quadrat-mean level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0.925,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0.856). </w:t>
      </w:r>
      <w:r w:rsidRPr="003E7BE9">
        <w:rPr>
          <w:rFonts w:ascii="Times New Roman" w:eastAsia="Times New Roman" w:hAnsi="Times New Roman" w:cs="Times New Roman"/>
          <w:sz w:val="24"/>
          <w:szCs w:val="24"/>
        </w:rPr>
        <w:lastRenderedPageBreak/>
        <w:t xml:space="preserve">Standardized PC1 showed substantially weaker relationships with mean reflectance,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-0.118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0.014) at the pixel level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-0.348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0.121) at the quadrat-mean level.</w:t>
      </w:r>
    </w:p>
    <w:p w14:paraId="7028A52A"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The loading patterns also differed between PCA representations. In the standardized PCA, PC1 showed its greatest departures from a uniform spectral response in the near-infrared wavelengths from approximately 843</w:t>
      </w:r>
      <w:r>
        <w:rPr>
          <w:rFonts w:ascii="Times New Roman" w:eastAsia="Times New Roman" w:hAnsi="Times New Roman" w:cs="Times New Roman"/>
          <w:sz w:val="24"/>
          <w:szCs w:val="24"/>
        </w:rPr>
        <w:t>-</w:t>
      </w:r>
      <w:r w:rsidRPr="003E7BE9">
        <w:rPr>
          <w:rFonts w:ascii="Times New Roman" w:eastAsia="Times New Roman" w:hAnsi="Times New Roman" w:cs="Times New Roman"/>
          <w:sz w:val="24"/>
          <w:szCs w:val="24"/>
        </w:rPr>
        <w:t>903 nm, whereas PC2 showed more concentrated nonuniform structure from approximately 753</w:t>
      </w:r>
      <w:r>
        <w:rPr>
          <w:rFonts w:ascii="Times New Roman" w:eastAsia="Times New Roman" w:hAnsi="Times New Roman" w:cs="Times New Roman"/>
          <w:sz w:val="24"/>
          <w:szCs w:val="24"/>
        </w:rPr>
        <w:t>-</w:t>
      </w:r>
      <w:r w:rsidRPr="003E7BE9">
        <w:rPr>
          <w:rFonts w:ascii="Times New Roman" w:eastAsia="Times New Roman" w:hAnsi="Times New Roman" w:cs="Times New Roman"/>
          <w:sz w:val="24"/>
          <w:szCs w:val="24"/>
        </w:rPr>
        <w:t>813 nm. The 753</w:t>
      </w:r>
      <w:r>
        <w:rPr>
          <w:rFonts w:ascii="Times New Roman" w:eastAsia="Times New Roman" w:hAnsi="Times New Roman" w:cs="Times New Roman"/>
          <w:sz w:val="24"/>
          <w:szCs w:val="24"/>
        </w:rPr>
        <w:t>-</w:t>
      </w:r>
      <w:r w:rsidRPr="003E7BE9">
        <w:rPr>
          <w:rFonts w:ascii="Times New Roman" w:eastAsia="Times New Roman" w:hAnsi="Times New Roman" w:cs="Times New Roman"/>
          <w:sz w:val="24"/>
          <w:szCs w:val="24"/>
        </w:rPr>
        <w:t>778 nm region represented the portion of PC2 least associated with the broad PC1 brightness pattern. In the raw PCA, PC1 departures were concentrated toward the violet-blue edge and longer near-infrared wavelengths, while PC2 emphasized blue-green, red, red-edge, and near-infrared regions</w:t>
      </w:r>
      <w:r>
        <w:rPr>
          <w:rFonts w:ascii="Times New Roman" w:eastAsia="Times New Roman" w:hAnsi="Times New Roman" w:cs="Times New Roman"/>
          <w:sz w:val="24"/>
          <w:szCs w:val="24"/>
        </w:rPr>
        <w:t xml:space="preserve"> (Figure)</w:t>
      </w:r>
      <w:r w:rsidRPr="003E7BE9">
        <w:rPr>
          <w:rFonts w:ascii="Times New Roman" w:eastAsia="Times New Roman" w:hAnsi="Times New Roman" w:cs="Times New Roman"/>
          <w:sz w:val="24"/>
          <w:szCs w:val="24"/>
        </w:rPr>
        <w:t>.</w:t>
      </w:r>
    </w:p>
    <w:p w14:paraId="62553950"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vector-normalized PCA metrics generally showed stronger relationships with phylogenetic biodiversity than the corresponding raw PCA metrics. At 10 m, raw PCA alpha hull showed a correlation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0.057 with abundance-weighted Faith's PD,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0.188 for standardized PCA alpha hull. Raw PCA mean distance was correlated with phylogenetic Rao's Q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0.053,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0.140 for standardized PCA mean distance.</w:t>
      </w:r>
    </w:p>
    <w:p w14:paraId="7A84920B"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At 20 m, the difference between PCA representations was more pronounced. Raw PCA alpha hull was correlated with abundance-weighted Faith's PD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0.217,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0.384 for standardized PCA alpha hull. Raw PCA mean distance showed a correlation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0.164 with abundance-weighted Faith's PD,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0.301 for standardized PCA mean distance. Raw and standardized PCA Rao's Q showed similarly weak relationships with abundance-weighted Faith's PD at this scale.</w:t>
      </w:r>
    </w:p>
    <w:p w14:paraId="4AE3A3FC"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At 50 m, both PCA representations showed positive relationships with phylogenetic biodiversity, although standardized PCA alpha hull and mean distance remained stronger. Raw PCA alpha hull was correlated with abundance-weighted Faith's PD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0.412,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0.497 for standardized PCA alpha hull. Raw PCA mean distance showed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0.375,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0.419 for standardized PCA mean distance. Raw PCA Rao's Q showed a correlation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0.346 with abundance-weighted Faith's PD,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0.272 for standardized PCA Rao's Q. Standardized PCA Rao's Q, however, showed a slightly stronger relationship with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0.352).</w:t>
      </w:r>
    </w:p>
    <w:p w14:paraId="1A16DB48"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3.6 Shadow Masking Diagnostic</w:t>
      </w:r>
    </w:p>
    <w:p w14:paraId="79E71FBC"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shadow/sunlit classification showed near-complete separation between the </w:t>
      </w:r>
      <w:proofErr w:type="gramStart"/>
      <w:r w:rsidRPr="003E7BE9">
        <w:rPr>
          <w:rFonts w:ascii="Times New Roman" w:eastAsia="Times New Roman" w:hAnsi="Times New Roman" w:cs="Times New Roman"/>
          <w:sz w:val="24"/>
          <w:szCs w:val="24"/>
        </w:rPr>
        <w:t>two pixel</w:t>
      </w:r>
      <w:proofErr w:type="gramEnd"/>
      <w:r w:rsidRPr="003E7BE9">
        <w:rPr>
          <w:rFonts w:ascii="Times New Roman" w:eastAsia="Times New Roman" w:hAnsi="Times New Roman" w:cs="Times New Roman"/>
          <w:sz w:val="24"/>
          <w:szCs w:val="24"/>
        </w:rPr>
        <w:t xml:space="preserve"> classes. The 563 nm band produced an area under the receiver operating characteristic curve of 0.999956, with an optimal threshold of 0.0305476. Sensitivity and specificity were 0.99931 and 0.99920, respectively. The resulting separation indicated a very strong distinction between shadowed and sunlit pixels.</w:t>
      </w:r>
    </w:p>
    <w:p w14:paraId="32B9738C"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3.7 Drivers of Spectral and Biodiversity Metrics</w:t>
      </w:r>
    </w:p>
    <w:p w14:paraId="0F928C44"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standardized PCA metrics showed relationships with brightness, spectral-region brightness, and elevation that varied among metrics and quadrat scales. Standardized PCA alpha hull showed the strongest driver relationships. At 10 m, alpha hull was positively correlated with </w:t>
      </w:r>
      <w:r w:rsidRPr="003E7BE9">
        <w:rPr>
          <w:rFonts w:ascii="Times New Roman" w:eastAsia="Times New Roman" w:hAnsi="Times New Roman" w:cs="Times New Roman"/>
          <w:sz w:val="24"/>
          <w:szCs w:val="24"/>
        </w:rPr>
        <w:lastRenderedPageBreak/>
        <w:t>green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0.483), blue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0.461), and 563 nm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0.435). At 20 m, positive relationships remained with green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0.332) and 563 nm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0.296), while near-infrared brightness showed a negative relationship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-0.366). At 50 m, alpha hull was negatively correlated with elevation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-0.485) and near-infrared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-0.421), while remaining positively correlated with green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0.471) and 563 nm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0.432).</w:t>
      </w:r>
    </w:p>
    <w:p w14:paraId="041BCE58"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Standardized PCA mean distance showed a similar but weaker pattern. Near-infrared brightness was negatively correlated with mean distance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-0.352), 20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-0.357), and 50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-0.466). At 50 m, mean distance was also negatively related to elevation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-0.482) and positively related to green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0.385). Standardized PCA Rao's Q showed weaker driver relationships overall, with negative relationships with near-infrared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-0.389) and elevation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-0.318) at 50 m.</w:t>
      </w:r>
    </w:p>
    <w:p w14:paraId="39C7BDF1"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Biodiversity metrics also differed in their relationships with ecological variables. Species richness was directly aligned with present species count, while Shannon diversity was strongly associated with Simpson diversity and species count. Abundance-weighted Faith's PD showed positive relationships with crown-equivalent individuals,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0.718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0.651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0.530 at 50 m. Phylogenetic Rao's Q was related to Simpson diversity and species evenness at 10 m, while its relationship with abundance-weighted Faith's PD was stronger and more consistent than its relationship with Shannon diversity.</w:t>
      </w:r>
    </w:p>
    <w:p w14:paraId="3ECE9454"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3.8 Biodiversity-squared Transformation</w:t>
      </w:r>
    </w:p>
    <w:p w14:paraId="161D22D3"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Squaring the biodiversity metrics produced relatively small changes in the observed relationships and did not alter the overall rank order of the strongest associations.</w:t>
      </w:r>
      <w:r>
        <w:rPr>
          <w:rFonts w:ascii="Times New Roman" w:eastAsia="Times New Roman" w:hAnsi="Times New Roman" w:cs="Times New Roman"/>
          <w:sz w:val="24"/>
          <w:szCs w:val="24"/>
        </w:rPr>
        <w:t xml:space="preserve"> Though it did disproportionally increase correlations at lower spatial scales (Table).</w:t>
      </w:r>
      <w:r w:rsidRPr="003E7BE9">
        <w:rPr>
          <w:rFonts w:ascii="Times New Roman" w:eastAsia="Times New Roman" w:hAnsi="Times New Roman" w:cs="Times New Roman"/>
          <w:sz w:val="24"/>
          <w:szCs w:val="24"/>
        </w:rPr>
        <w:t xml:space="preserve"> The strongest relationship remained standardized PCA alpha hull with abundance-weighted Faith's PD at 50 m,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0.498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0.248 after transformation,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0.497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0.247 for the untransformed relationship.</w:t>
      </w:r>
    </w:p>
    <w:p w14:paraId="76CDB6FD"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Several 50 m phylogenetic relationships were slightly weaker following the transformation. Standardized PCA alpha hull and phylogenetic Rao's Q decreased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0.474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0.224), while standardized PCA mean distance and phylogenetic Rao's Q decreased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0.425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0.181). Standardized PCA mean distance and abundance-weighted Faith's PD decreased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0.408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0.167).</w:t>
      </w:r>
    </w:p>
    <w:p w14:paraId="4CF20CE8"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At smaller spatial grains, the transformation strengthened several weaker phylogenetic relationships. At 20 m, standardized PCA alpha hull and phylogenetic Rao's Q increased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0.345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0.119), while its relationship with abundance-weighted Faith's PD remained essentially unchanged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0.147). At 10 m, standardized PCA alpha hull increased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0.226 with phylogenetic Rao's Q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0.220 with abundance-weighted Faith's PD. Standardized PCA mean distance increased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0.167 with phylogenetic Rao's Q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0.147 with abundance-weighted Faith's PD.</w:t>
      </w:r>
    </w:p>
    <w:p w14:paraId="7CE60A00"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lastRenderedPageBreak/>
        <w:t>Overall, the biodiversity-squared transformation produced modest changes in correlation strength, particularly among weaker relationships at the finer spatial grains, while the strongest relationships at 50 m remained largely consistent with the untransformed results.</w:t>
      </w:r>
    </w:p>
    <w:p w14:paraId="201AAD85"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3.9 Spatial Structure</w:t>
      </w:r>
    </w:p>
    <w:p w14:paraId="3A7F832F"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primary spectral and biodiversity metrics showed positive spatial structure at all three quadrat scales. Standardized PCA alpha hull had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values of 0.417, 0.318, and 0.221 at 10, 20, and 50 m, respectively. Standardized PCA mean distance showed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values of 0.281, 0.263, and 0.214, while standardized PCA Rao's Q showed lower but consistently positive values of 0.178, 0.174, and 0.112. Phylogenetic Rao's Q and abundance-weighted Faith's PD also showed positive spatial structure across all three scales.</w:t>
      </w:r>
    </w:p>
    <w:p w14:paraId="48D880EF"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Residual spatial structure was strongest at the finer spatial grains and decreased for the strongest phylogenetic relationships at 50 m. At 10 m, residual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remained positive for standardized PCA alpha hull with phylogenetic Rao's Q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0.394), standardized PCA alpha hull with abundance-weighted Faith's PD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0.385), and standardized PCA mean distance with phylogenetic Rao's Q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0.262). At 20 m, residual spatial structure was reduced but remained positive, with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0.228 for standardized PCA alpha hull with phylogenetic Rao's Q,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0.202 for standardized PCA alpha hull with abundance-weighted Faith's PD, and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0.192 for standardized PCA mean distance with phylogenetic Rao's Q.</w:t>
      </w:r>
    </w:p>
    <w:p w14:paraId="34D72904"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At 50 m, residual spatial structure was weak for the strongest phylogenetic relationships. Standardized PCA alpha hull with phylogenetic Rao's Q had residual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0.051, while alpha hull with abundance-weighted Faith's PD had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0.068. Standardized PCA mean distance with phylogenetic Rao's Q had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0.073, and standardized PCA Rao's Q with phylogenetic Rao's Q had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0.041.</w:t>
      </w:r>
    </w:p>
    <w:p w14:paraId="3D4D5046"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In contrast, the Shannon-diversity relationships retained stronger residual spatial structure at 50 m. Residual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was 0.219 for standardized PCA alpha hull with Shannon diversity and 0.212 for standardized PCA mean distance with Shannon diversity. Thus, the strongest 50 m relationships involving phylogenetic biodiversity metrics were accompanied by substantially lower residual spatial structure than the corresponding relationships involving Shannon diversity.</w:t>
      </w:r>
    </w:p>
    <w:p w14:paraId="5A0D74C1" w14:textId="77777777" w:rsidR="00C10ADA" w:rsidRPr="003E7BE9" w:rsidRDefault="00C10ADA" w:rsidP="00C10ADA">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3.10 Summary of Scale-dependent Patterns</w:t>
      </w:r>
    </w:p>
    <w:p w14:paraId="5144FC75" w14:textId="77777777" w:rsidR="00C10ADA" w:rsidRPr="003E7BE9" w:rsidRDefault="00C10ADA" w:rsidP="00C10ADA">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Across quadrat scales, spectral heterogeneity showed increasingly strong relationships with phylogenetic and abundance-weighted biodiversity as spatial grain increased. Standardized PCA alpha hull consistently produced the strongest spectral-biodiversity relationships, followed closely by standardized PCA mean distance, whereas standardized PCA Rao's Q showed weaker associations. The strongest relationships occurred at 50 m, where standardized PCA alpha hull explained 24.7% of the variation in abundance-weighted Faith's PD and 23.8% of the variation in phylogenetic Rao's Q. Standardized PCA mean distance explained 17.5% and 19.7% of variation in these </w:t>
      </w:r>
      <w:proofErr w:type="gramStart"/>
      <w:r w:rsidRPr="003E7BE9">
        <w:rPr>
          <w:rFonts w:ascii="Times New Roman" w:eastAsia="Times New Roman" w:hAnsi="Times New Roman" w:cs="Times New Roman"/>
          <w:sz w:val="24"/>
          <w:szCs w:val="24"/>
        </w:rPr>
        <w:t>two biodiversity</w:t>
      </w:r>
      <w:proofErr w:type="gramEnd"/>
      <w:r w:rsidRPr="003E7BE9">
        <w:rPr>
          <w:rFonts w:ascii="Times New Roman" w:eastAsia="Times New Roman" w:hAnsi="Times New Roman" w:cs="Times New Roman"/>
          <w:sz w:val="24"/>
          <w:szCs w:val="24"/>
        </w:rPr>
        <w:t xml:space="preserve"> metrics, respectively.</w:t>
      </w:r>
    </w:p>
    <w:p w14:paraId="6A3DE629" w14:textId="42E9826E" w:rsidR="005F02DF" w:rsidRPr="00DA7903" w:rsidRDefault="00C10ADA" w:rsidP="005F02DF">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lastRenderedPageBreak/>
        <w:t>In contrast, Shannon diversity showed little relationship with any of the standardized PCA spectral metrics across scales, including near-zero correlations at 50 m. The increasing separation between Shannon diversity and abundance-weighted phylogenetic metrics with increasing spatial grain further distinguished the two biodiversity components. The strongest 50 m phylogenetic relationships also showed relatively weak residual spatial structure, whereas the corresponding Shannon-diversity relationships retained stronger spatial structure. Together, these patterns characterized a clear increase in the correspondence between spectral heterogeneity and phylogenetic biodiversity from 10 m to 50 m.</w:t>
      </w:r>
      <w:bookmarkStart w:id="13" w:name="_GoBack"/>
      <w:bookmarkEnd w:id="13"/>
    </w:p>
    <w:p w14:paraId="53488C3B" w14:textId="77777777" w:rsidR="005F02DF" w:rsidRPr="00450AF1" w:rsidRDefault="005F02DF" w:rsidP="005F02DF">
      <w:pPr>
        <w:spacing w:before="100" w:beforeAutospacing="1" w:after="100" w:afterAutospacing="1" w:line="240" w:lineRule="auto"/>
        <w:outlineLvl w:val="1"/>
        <w:rPr>
          <w:rFonts w:ascii="Times New Roman" w:eastAsia="Times New Roman" w:hAnsi="Times New Roman" w:cs="Times New Roman"/>
          <w:b/>
          <w:bCs/>
          <w:sz w:val="36"/>
          <w:szCs w:val="36"/>
        </w:rPr>
      </w:pPr>
      <w:r w:rsidRPr="00450AF1">
        <w:rPr>
          <w:rFonts w:ascii="Times New Roman" w:eastAsia="Times New Roman" w:hAnsi="Times New Roman" w:cs="Times New Roman"/>
          <w:b/>
          <w:bCs/>
          <w:sz w:val="36"/>
          <w:szCs w:val="36"/>
        </w:rPr>
        <w:t>4. Discussion</w:t>
      </w:r>
    </w:p>
    <w:p w14:paraId="2138A8B3" w14:textId="77777777" w:rsidR="005F02DF" w:rsidRPr="00450AF1" w:rsidRDefault="005F02DF" w:rsidP="005F02DF">
      <w:pPr>
        <w:spacing w:before="100" w:beforeAutospacing="1" w:after="100" w:afterAutospacing="1" w:line="240" w:lineRule="auto"/>
        <w:outlineLvl w:val="2"/>
        <w:rPr>
          <w:rFonts w:ascii="Times New Roman" w:eastAsia="Times New Roman" w:hAnsi="Times New Roman" w:cs="Times New Roman"/>
          <w:b/>
          <w:bCs/>
          <w:sz w:val="27"/>
          <w:szCs w:val="27"/>
        </w:rPr>
      </w:pPr>
      <w:r w:rsidRPr="00450AF1">
        <w:rPr>
          <w:rFonts w:ascii="Times New Roman" w:eastAsia="Times New Roman" w:hAnsi="Times New Roman" w:cs="Times New Roman"/>
          <w:b/>
          <w:bCs/>
          <w:sz w:val="27"/>
          <w:szCs w:val="27"/>
        </w:rPr>
        <w:t>4.1 Spectral metrics differ in their ability to capture phylogenetic diversity</w:t>
      </w:r>
    </w:p>
    <w:p w14:paraId="1AD632E9" w14:textId="77777777" w:rsidR="003060A4" w:rsidRDefault="002B0269" w:rsidP="005F02DF">
      <w:pPr>
        <w:spacing w:before="100" w:beforeAutospacing="1" w:after="100" w:afterAutospacing="1" w:line="240" w:lineRule="auto"/>
        <w:rPr>
          <w:rFonts w:ascii="Times New Roman" w:eastAsia="Times New Roman" w:hAnsi="Times New Roman" w:cs="Times New Roman"/>
          <w:sz w:val="24"/>
          <w:szCs w:val="24"/>
        </w:rPr>
      </w:pPr>
      <w:r w:rsidRPr="002B0269">
        <w:rPr>
          <w:rFonts w:ascii="Times New Roman" w:eastAsia="Times New Roman" w:hAnsi="Times New Roman" w:cs="Times New Roman"/>
          <w:sz w:val="24"/>
          <w:szCs w:val="24"/>
        </w:rPr>
        <w:t>The sampling analysis supports the use of 4,000 retained pixels to estimate mean spectral heterogeneity. Standardized PCA mean Euclidean distance stabilized at relatively small pixel sample sizes across all three quadrat scales, with mean absolute deviations from the 4,000-pixel reference of 0.00% to less than 0.3% at sampling levels of 1,250–2,000 pixels for 10 and 20 m quadrats and at 1% sampling for 50 m quadrats.</w:t>
      </w:r>
      <w:r>
        <w:rPr>
          <w:rFonts w:ascii="Times New Roman" w:eastAsia="Times New Roman" w:hAnsi="Times New Roman" w:cs="Times New Roman"/>
          <w:sz w:val="24"/>
          <w:szCs w:val="24"/>
        </w:rPr>
        <w:t xml:space="preserve"> </w:t>
      </w:r>
      <w:r w:rsidRPr="002B0269">
        <w:rPr>
          <w:rFonts w:ascii="Times New Roman" w:eastAsia="Times New Roman" w:hAnsi="Times New Roman" w:cs="Times New Roman"/>
          <w:sz w:val="24"/>
          <w:szCs w:val="24"/>
        </w:rPr>
        <w:t xml:space="preserve">Bootstrap variability also declined substantially with increasing sample size, with relatively little additional improvement beyond 4,000 pixels. This rapid stabilization suggests that mean Euclidean distance provides a </w:t>
      </w:r>
      <w:r>
        <w:rPr>
          <w:rFonts w:ascii="Times New Roman" w:eastAsia="Times New Roman" w:hAnsi="Times New Roman" w:cs="Times New Roman"/>
          <w:sz w:val="24"/>
          <w:szCs w:val="24"/>
        </w:rPr>
        <w:t>reliable</w:t>
      </w:r>
      <w:r w:rsidRPr="002B0269">
        <w:rPr>
          <w:rFonts w:ascii="Times New Roman" w:eastAsia="Times New Roman" w:hAnsi="Times New Roman" w:cs="Times New Roman"/>
          <w:sz w:val="24"/>
          <w:szCs w:val="24"/>
        </w:rPr>
        <w:t xml:space="preserve"> summary of broad quadrat-level spectral dispersion and is not strongly dependent on individual rare pixels. The relatively high spatial redundancy of canopy spectra likely contributes to this pattern, as neighboring pixels may represent similar crowns, leaves, illumination conditions, or canopy surfaces, reducing the amount of independent spectral information gained from progressively larger samples. In contrast, Rao's Q remained more sensitive to sample size, particularly at larger quadrat scales, consistent with its greater weighting of pixels with large departures from the spectral centroid. </w:t>
      </w:r>
    </w:p>
    <w:p w14:paraId="2C1C6C5B" w14:textId="31A36F45" w:rsidR="002B0269" w:rsidRDefault="002B0269" w:rsidP="005F02DF">
      <w:pPr>
        <w:spacing w:before="100" w:beforeAutospacing="1" w:after="100" w:afterAutospacing="1" w:line="240" w:lineRule="auto"/>
        <w:rPr>
          <w:rFonts w:ascii="Times New Roman" w:eastAsia="Times New Roman" w:hAnsi="Times New Roman" w:cs="Times New Roman"/>
          <w:sz w:val="24"/>
          <w:szCs w:val="24"/>
        </w:rPr>
      </w:pPr>
      <w:r w:rsidRPr="002B0269">
        <w:rPr>
          <w:rFonts w:ascii="Times New Roman" w:eastAsia="Times New Roman" w:hAnsi="Times New Roman" w:cs="Times New Roman"/>
          <w:sz w:val="24"/>
          <w:szCs w:val="24"/>
        </w:rPr>
        <w:t xml:space="preserve">These results indicate that 4,000 pixels provide a balance between numerical stability and computational efficiency for estimating mean spectral heterogeneity, </w:t>
      </w:r>
      <w:r w:rsidR="003060A4">
        <w:rPr>
          <w:rFonts w:ascii="Times New Roman" w:eastAsia="Times New Roman" w:hAnsi="Times New Roman" w:cs="Times New Roman"/>
          <w:sz w:val="24"/>
          <w:szCs w:val="24"/>
        </w:rPr>
        <w:t>especially</w:t>
      </w:r>
      <w:r w:rsidRPr="002B0269">
        <w:rPr>
          <w:rFonts w:ascii="Times New Roman" w:eastAsia="Times New Roman" w:hAnsi="Times New Roman" w:cs="Times New Roman"/>
          <w:sz w:val="24"/>
          <w:szCs w:val="24"/>
        </w:rPr>
        <w:t xml:space="preserve"> for larger quadrats where calculating the metric from all retained pixels would substantially increase computational requirements. </w:t>
      </w:r>
      <w:r w:rsidR="003060A4">
        <w:rPr>
          <w:rFonts w:ascii="Times New Roman" w:eastAsia="Times New Roman" w:hAnsi="Times New Roman" w:cs="Times New Roman"/>
          <w:sz w:val="24"/>
          <w:szCs w:val="24"/>
        </w:rPr>
        <w:t>R</w:t>
      </w:r>
      <w:r w:rsidRPr="002B0269">
        <w:rPr>
          <w:rFonts w:ascii="Times New Roman" w:eastAsia="Times New Roman" w:hAnsi="Times New Roman" w:cs="Times New Roman"/>
          <w:sz w:val="24"/>
          <w:szCs w:val="24"/>
        </w:rPr>
        <w:t>are canopy features may remain underrepresented, but their influence on mean spectral heterogeneity appears limited at this sampling level.</w:t>
      </w:r>
    </w:p>
    <w:p w14:paraId="15AC98C5" w14:textId="69EFB5C0" w:rsidR="005F02DF" w:rsidRPr="002D53A6"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t>Both spectral diversity metrics were positively associated with abundance-weighted Faith's phylogenetic diversity, but standardized PCA mean Euclidean distance consistently produced stronger relationships than spectral Rao's Q. Although both metrics are derived from the same PCA scores, they summarize spectral dispersion in fundamentally different ways.</w:t>
      </w:r>
    </w:p>
    <w:p w14:paraId="196D8AD2" w14:textId="77777777" w:rsidR="005F02DF" w:rsidRPr="002D53A6"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t>Standardized PCA mean Euclidean distance is calculated as the mean Euclidean distance of pixels from the quadrat centroid in PCA space. In contrast, spectral Rao's Q is calculated as twice the mean squared distance from the centroid. For squared Euclidean distances, this centroid-based formulation is mathematically equivalent to the average pairwise squared Euclidean distance among all pixels when equal pixel weights are assumed. Thus, while the implementation avoids explicitly calculating every pairwise comparison, spectral Rao's Q remains conceptually a measure of pairwise spectral diversity.</w:t>
      </w:r>
    </w:p>
    <w:p w14:paraId="1A73582F" w14:textId="77777777" w:rsidR="005F02DF" w:rsidRPr="002D53A6"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lastRenderedPageBreak/>
        <w:t>The distinction between the metrics lies in the treatment of spectral distance. Mean Euclidean distance summarizes the average magnitude of spectral dispersion around the centroid, whereas Rao's Q squares those distances before averaging. Squaring gives greater influence to pixels that lie farther from the centroid, making Rao's Q more sensitive to the tails of the distance distribution. As a result, relatively uncommon spectral observations contribute more strongly to Rao's Q than to the mean Euclidean distance.</w:t>
      </w:r>
    </w:p>
    <w:p w14:paraId="560AB7E6" w14:textId="77777777" w:rsidR="005F02DF" w:rsidRPr="002D53A6"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t>Prior to principal component analysis, spectra were vector normalized to reduce variation associated with illumination intensity. This preprocessing removed approximately 90% of the illumination signal, allowing the principal components to primarily represent differences in spectral shape rather than overall brightness. However, vector normalization does not eliminate illumination effects entirely, and residual variation associated with shadowing, canopy geometry, or viewing conditions may still be represented within the PCA axes. Because Rao's Q emphasizes larger squared distances, these residual sources of variation are likely to have a greater influence on Rao's Q than on the mean Euclidean distance.</w:t>
      </w:r>
    </w:p>
    <w:p w14:paraId="743DCE90"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t>These differences provide one possible explanation for the stronger relationships observed for standardized PCA mean Euclidean distance. By weighting all pixel departures from the centroid linearly, the metric appears to better capture the dominant canopy spectral structure associated with abundance-weighted phylogenetic diversity. In contrast, Rao's Q places greater emphasis on larger spectral departures, making it more responsive to the full range of within-quadrat spectral variation, including variation arising from canopy structure and residual illumination effects in addition to biological differences.</w:t>
      </w:r>
    </w:p>
    <w:p w14:paraId="022A6C9E" w14:textId="77777777" w:rsidR="005F02DF" w:rsidRPr="00450AF1" w:rsidRDefault="005F02DF" w:rsidP="005F02DF">
      <w:pPr>
        <w:spacing w:before="100" w:beforeAutospacing="1" w:after="100" w:afterAutospacing="1" w:line="240" w:lineRule="auto"/>
        <w:outlineLvl w:val="2"/>
        <w:rPr>
          <w:rFonts w:ascii="Times New Roman" w:eastAsia="Times New Roman" w:hAnsi="Times New Roman" w:cs="Times New Roman"/>
          <w:b/>
          <w:bCs/>
          <w:sz w:val="27"/>
          <w:szCs w:val="27"/>
        </w:rPr>
      </w:pPr>
      <w:r w:rsidRPr="00450AF1">
        <w:rPr>
          <w:rFonts w:ascii="Times New Roman" w:eastAsia="Times New Roman" w:hAnsi="Times New Roman" w:cs="Times New Roman"/>
          <w:b/>
          <w:bCs/>
          <w:sz w:val="27"/>
          <w:szCs w:val="27"/>
        </w:rPr>
        <w:t>4.2 Scale dependence of the spectral-phylogenetic relationship</w:t>
      </w:r>
    </w:p>
    <w:p w14:paraId="30959814"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 xml:space="preserve">A consistent result across both spectral diversity metrics was the increase in correlation strength with quadrat size. For standardized PCA mean Euclidean distance, Pearson's </w:t>
      </w:r>
      <w:r w:rsidRPr="00450AF1">
        <w:rPr>
          <w:rFonts w:ascii="Times New Roman" w:eastAsia="Times New Roman" w:hAnsi="Times New Roman" w:cs="Times New Roman"/>
          <w:i/>
          <w:iCs/>
          <w:sz w:val="24"/>
          <w:szCs w:val="24"/>
        </w:rPr>
        <w:t>r</w:t>
      </w:r>
      <w:r w:rsidRPr="00450AF1">
        <w:rPr>
          <w:rFonts w:ascii="Times New Roman" w:eastAsia="Times New Roman" w:hAnsi="Times New Roman" w:cs="Times New Roman"/>
          <w:sz w:val="24"/>
          <w:szCs w:val="24"/>
        </w:rPr>
        <w:t xml:space="preserve"> increased from 0.106 at 10 m to 0.291 at 20 m and 0.419 at 50 m. Spectral Rao's Q exhibited the same general pattern, increasing from essentially no relationship at 10 m (</w:t>
      </w:r>
      <w:r w:rsidRPr="00450AF1">
        <w:rPr>
          <w:rFonts w:ascii="Times New Roman" w:eastAsia="Times New Roman" w:hAnsi="Times New Roman" w:cs="Times New Roman"/>
          <w:i/>
          <w:iCs/>
          <w:sz w:val="24"/>
          <w:szCs w:val="24"/>
        </w:rPr>
        <w:t>r</w:t>
      </w:r>
      <w:r w:rsidRPr="00450AF1">
        <w:rPr>
          <w:rFonts w:ascii="Times New Roman" w:eastAsia="Times New Roman" w:hAnsi="Times New Roman" w:cs="Times New Roman"/>
          <w:sz w:val="24"/>
          <w:szCs w:val="24"/>
        </w:rPr>
        <w:t xml:space="preserve"> = 0.003) to 0.112 at 20 m and 0.345 at 50 m.</w:t>
      </w:r>
    </w:p>
    <w:p w14:paraId="75F81753"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This pattern suggests that the relationship between spectral heterogeneity and phylogenetic diversity is strongly scale dependent. At fine spatial grains, spectral variation is influenced by individual crowns, within-crown variability, canopy gaps, shadow geometry, and small positional differences between remotely sensed imagery and field observations. These sources of local variability can obscure broader community-level relationships.</w:t>
      </w:r>
    </w:p>
    <w:p w14:paraId="49A3B6C0"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As quadrat size increases, spectral measurements integrate across larger portions of the canopy and encompass a greater number of individuals and species. This spatial averaging reduces the influence of localized variation while better representing the dominant composition of the canopy community. Because abundance-weighted Faith's PD is itself a community-level metric, stronger relationships would be expected when the spatial grain more closely matches the scale at which canopy composition is expressed.</w:t>
      </w:r>
    </w:p>
    <w:p w14:paraId="28A6B74C"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lastRenderedPageBreak/>
        <w:t xml:space="preserve">The observed scale dependence is consistent with the Spectral Variation Hypothesis, which proposes that greater spectral heterogeneity reflects greater biological diversity. </w:t>
      </w:r>
      <w:r>
        <w:rPr>
          <w:rFonts w:ascii="Times New Roman" w:eastAsia="Times New Roman" w:hAnsi="Times New Roman" w:cs="Times New Roman"/>
          <w:sz w:val="24"/>
          <w:szCs w:val="24"/>
        </w:rPr>
        <w:t>O</w:t>
      </w:r>
      <w:r w:rsidRPr="00450AF1">
        <w:rPr>
          <w:rFonts w:ascii="Times New Roman" w:eastAsia="Times New Roman" w:hAnsi="Times New Roman" w:cs="Times New Roman"/>
          <w:sz w:val="24"/>
          <w:szCs w:val="24"/>
        </w:rPr>
        <w:t>ur results demonstrate that the strength of this relationship depends on the spatial grain at which both biodiversity and spectral heterogeneity are quantified.</w:t>
      </w:r>
    </w:p>
    <w:p w14:paraId="1ED2A665" w14:textId="77777777" w:rsidR="005F02DF" w:rsidRPr="00450AF1" w:rsidRDefault="005F02DF" w:rsidP="005F02DF">
      <w:pPr>
        <w:spacing w:before="100" w:beforeAutospacing="1" w:after="100" w:afterAutospacing="1" w:line="240" w:lineRule="auto"/>
        <w:outlineLvl w:val="2"/>
        <w:rPr>
          <w:rFonts w:ascii="Times New Roman" w:eastAsia="Times New Roman" w:hAnsi="Times New Roman" w:cs="Times New Roman"/>
          <w:b/>
          <w:bCs/>
          <w:sz w:val="27"/>
          <w:szCs w:val="27"/>
        </w:rPr>
      </w:pPr>
      <w:r w:rsidRPr="00450AF1">
        <w:rPr>
          <w:rFonts w:ascii="Times New Roman" w:eastAsia="Times New Roman" w:hAnsi="Times New Roman" w:cs="Times New Roman"/>
          <w:b/>
          <w:bCs/>
          <w:sz w:val="27"/>
          <w:szCs w:val="27"/>
        </w:rPr>
        <w:t>4.3 Ecological interpretation of the spectral-phylogenetic relationship</w:t>
      </w:r>
    </w:p>
    <w:p w14:paraId="1246249F"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Although both spectral diversity metrics exhibited positive relationships with abundance-weighted Faith's PD, the overall correlations remained moderate. This outcome is consistent with the expectation that phylogenetic diversity represents only one of several factors influencing canopy reflectance.</w:t>
      </w:r>
    </w:p>
    <w:p w14:paraId="27F79685"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Evolutionary history shapes numerous leaf and canopy characteristics, including pigment concentrations, water content, internal leaf structure, and canopy architecture, all of which influence spectral reflectance. Closely related species often share similar functional traits because of common ancestry, whereas more distantly related lineages may exhibit greater functional divergence. Consequently, greater phylogenetic diversity can be expected to increase spectral heterogeneity.</w:t>
      </w:r>
    </w:p>
    <w:p w14:paraId="60562CFA"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 xml:space="preserve">At the same time, all tree species are constrained by similar physiological requirements. Regardless of evolutionary history, </w:t>
      </w:r>
      <w:r w:rsidRPr="00D6481E">
        <w:rPr>
          <w:rFonts w:ascii="Times New Roman" w:eastAsia="Times New Roman" w:hAnsi="Times New Roman" w:cs="Times New Roman"/>
          <w:sz w:val="24"/>
          <w:szCs w:val="24"/>
          <w:highlight w:val="yellow"/>
        </w:rPr>
        <w:t>leaves must efficiently absorb photosynthetically active radiation, regulate water loss, maintain structural integrity, and perform similar biochemical functions. These shared constraints limit the range of viable spectral characteristics and reduce the extent to which spectral variation can increase with phylogenetic divergence.</w:t>
      </w:r>
      <w:r w:rsidRPr="00450AF1">
        <w:rPr>
          <w:rFonts w:ascii="Times New Roman" w:eastAsia="Times New Roman" w:hAnsi="Times New Roman" w:cs="Times New Roman"/>
          <w:sz w:val="24"/>
          <w:szCs w:val="24"/>
        </w:rPr>
        <w:t xml:space="preserve"> Furthermore, canopy reflectance is influenced by environmental factors including illumination conditions, topography, moisture availability, and canopy structure, all of which contribute variation unrelated to phylogenetic composition.</w:t>
      </w:r>
    </w:p>
    <w:p w14:paraId="650869A8"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 xml:space="preserve">Together, these factors help explain why spectral heterogeneity captures a measurable but incomplete component of phylogenetic diversity. The observed relationships support the hypothesis that evolutionary history contributes to canopy spectral variation while also highlighting that remotely sensed spectral signals </w:t>
      </w:r>
      <w:r>
        <w:rPr>
          <w:rFonts w:ascii="Times New Roman" w:eastAsia="Times New Roman" w:hAnsi="Times New Roman" w:cs="Times New Roman"/>
          <w:sz w:val="24"/>
          <w:szCs w:val="24"/>
        </w:rPr>
        <w:t>capture</w:t>
      </w:r>
      <w:r w:rsidRPr="00450AF1">
        <w:rPr>
          <w:rFonts w:ascii="Times New Roman" w:eastAsia="Times New Roman" w:hAnsi="Times New Roman" w:cs="Times New Roman"/>
          <w:sz w:val="24"/>
          <w:szCs w:val="24"/>
        </w:rPr>
        <w:t xml:space="preserve"> multiple biological and environmental processes.</w:t>
      </w:r>
    </w:p>
    <w:p w14:paraId="0ECA2F05" w14:textId="77777777" w:rsidR="005F02DF" w:rsidRPr="00450AF1" w:rsidRDefault="005F02DF" w:rsidP="005F02DF">
      <w:pPr>
        <w:spacing w:before="100" w:beforeAutospacing="1" w:after="100" w:afterAutospacing="1" w:line="240" w:lineRule="auto"/>
        <w:outlineLvl w:val="2"/>
        <w:rPr>
          <w:rFonts w:ascii="Times New Roman" w:eastAsia="Times New Roman" w:hAnsi="Times New Roman" w:cs="Times New Roman"/>
          <w:b/>
          <w:bCs/>
          <w:sz w:val="27"/>
          <w:szCs w:val="27"/>
        </w:rPr>
      </w:pPr>
      <w:r w:rsidRPr="00450AF1">
        <w:rPr>
          <w:rFonts w:ascii="Times New Roman" w:eastAsia="Times New Roman" w:hAnsi="Times New Roman" w:cs="Times New Roman"/>
          <w:b/>
          <w:bCs/>
          <w:sz w:val="27"/>
          <w:szCs w:val="27"/>
        </w:rPr>
        <w:t>4.4 Implications for remote sensing of biodiversity</w:t>
      </w:r>
    </w:p>
    <w:p w14:paraId="7D7A9640"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Our results demonstrate that both metric selection and spatial scale influence the ability of hyperspectral imagery to detect phylogenetic diversity. Across all spatial grains examined, standardized PCA mean Euclidean distance consistently outperformed spectral Rao's Q, suggesting that centroid-based measures of spectral dispersion may provide a more effective operational approach for estimating abundance-weighted phylogenetic diversity in closed-canopy temperate forests.</w:t>
      </w:r>
    </w:p>
    <w:p w14:paraId="62E3015F"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Pr="00450AF1">
        <w:rPr>
          <w:rFonts w:ascii="Times New Roman" w:eastAsia="Times New Roman" w:hAnsi="Times New Roman" w:cs="Times New Roman"/>
          <w:sz w:val="24"/>
          <w:szCs w:val="24"/>
        </w:rPr>
        <w:t xml:space="preserve">he increasing strength of the spectral-phylogenetic relationship with spatial grain indicates that biodiversity assessments based on hyperspectral imagery should explicitly consider scale when selecting analytical methods. A single spatial resolution is unlikely to be optimal across </w:t>
      </w:r>
      <w:r w:rsidRPr="00450AF1">
        <w:rPr>
          <w:rFonts w:ascii="Times New Roman" w:eastAsia="Times New Roman" w:hAnsi="Times New Roman" w:cs="Times New Roman"/>
          <w:sz w:val="24"/>
          <w:szCs w:val="24"/>
        </w:rPr>
        <w:lastRenderedPageBreak/>
        <w:t>ecosystems or biodiversity metrics. Instead, spectral diversity metrics should be evaluated at spatial grains that correspond to the ecological organization of the communities being studied.</w:t>
      </w:r>
    </w:p>
    <w:p w14:paraId="39B8778C"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Future work integrating functional trait measurements, species-level spectral libraries, and environmental covariates will help determine the relative contributions of evolutionary history, canopy structure, and environmental variation to observed spectral heterogeneity. Such analyses will further improve the interpretation of hyperspectral data as a tool for monitoring forest biodiversity across landscapes.</w:t>
      </w:r>
    </w:p>
    <w:p w14:paraId="74CF0E1F" w14:textId="77777777" w:rsidR="005F02DF" w:rsidRPr="00450AF1" w:rsidRDefault="005F02DF" w:rsidP="005F02DF"/>
    <w:p w14:paraId="7C0D0E85" w14:textId="77777777" w:rsidR="00F256A4" w:rsidRDefault="00F256A4"/>
    <w:sectPr w:rsidR="00F256A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PaintRock" w:date="2026-08-12T13:59:00Z" w:initials="P">
    <w:p w14:paraId="3C353913" w14:textId="77777777" w:rsidR="003143EB" w:rsidRDefault="003143EB" w:rsidP="003143EB">
      <w:pPr>
        <w:pStyle w:val="CommentText"/>
      </w:pPr>
      <w:r>
        <w:rPr>
          <w:rStyle w:val="CommentReference"/>
        </w:rPr>
        <w:annotationRef/>
      </w:r>
      <w:r>
        <w:t xml:space="preserve">Included all measures but will narrow down to only what is used in the final </w:t>
      </w:r>
      <w:proofErr w:type="spellStart"/>
      <w:r>
        <w:t>analsis</w:t>
      </w:r>
      <w:proofErr w:type="spellEnd"/>
    </w:p>
  </w:comment>
  <w:comment w:id="3" w:author="Evan Tenorio" w:date="2026-08-21T11:46:00Z" w:initials="P">
    <w:p w14:paraId="60DB68CA" w14:textId="77777777" w:rsidR="003143EB" w:rsidRDefault="003143EB" w:rsidP="003143EB">
      <w:pPr>
        <w:pStyle w:val="CommentText"/>
      </w:pPr>
      <w:r>
        <w:rPr>
          <w:rStyle w:val="CommentReference"/>
        </w:rPr>
        <w:annotationRef/>
      </w:r>
      <w:r>
        <w:t>Add equations</w:t>
      </w:r>
    </w:p>
  </w:comment>
  <w:comment w:id="6" w:author="PaintRock" w:date="2026-08-12T14:08:00Z" w:initials="P">
    <w:p w14:paraId="5C4FF3E2" w14:textId="77777777" w:rsidR="003143EB" w:rsidRDefault="003143EB" w:rsidP="003143EB">
      <w:pPr>
        <w:pStyle w:val="CommentText"/>
      </w:pPr>
      <w:r>
        <w:rPr>
          <w:rStyle w:val="CommentReference"/>
        </w:rPr>
        <w:annotationRef/>
      </w:r>
      <w:r>
        <w:t>Same here. Will narrow down once we confirm which metrics are used in final analysis.</w:t>
      </w:r>
    </w:p>
  </w:comment>
  <w:comment w:id="11" w:author="Evan Tenorio" w:date="2026-08-21T15:35:00Z" w:initials="P">
    <w:p w14:paraId="024C1187" w14:textId="77777777" w:rsidR="003143EB" w:rsidRDefault="003143EB" w:rsidP="003143EB">
      <w:pPr>
        <w:pStyle w:val="CommentText"/>
      </w:pPr>
      <w:r>
        <w:rPr>
          <w:rStyle w:val="CommentReference"/>
        </w:rPr>
        <w:annotationRef/>
      </w:r>
      <w:r>
        <w:t>Debating whether to include these results, just say I am able to see species composition did not help explain of the relationships between biodiversity measures or between bio and spectral diversity.</w:t>
      </w:r>
    </w:p>
  </w:comment>
  <w:comment w:id="12" w:author="Evan Tenorio" w:date="2026-08-21T15:39:00Z" w:initials="P">
    <w:p w14:paraId="3B491527" w14:textId="77777777" w:rsidR="003143EB" w:rsidRDefault="003143EB" w:rsidP="003143EB">
      <w:pPr>
        <w:pStyle w:val="CommentText"/>
      </w:pPr>
      <w:r>
        <w:rPr>
          <w:rStyle w:val="CommentReference"/>
        </w:rPr>
        <w:annotationRef/>
      </w:r>
      <w:r>
        <w:t>May not need to include these results either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C353913" w15:done="0"/>
  <w15:commentEx w15:paraId="60DB68CA" w15:done="0"/>
  <w15:commentEx w15:paraId="5C4FF3E2" w15:done="1"/>
  <w15:commentEx w15:paraId="024C1187" w15:done="0"/>
  <w15:commentEx w15:paraId="3B49152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C353913" w16cid:durableId="2E26FAAE"/>
  <w16cid:commentId w16cid:paraId="60DB68CA" w16cid:durableId="2E32B910"/>
  <w16cid:commentId w16cid:paraId="5C4FF3E2" w16cid:durableId="2E26FCDD"/>
  <w16cid:commentId w16cid:paraId="024C1187" w16cid:durableId="2E32EEDF"/>
  <w16cid:commentId w16cid:paraId="3B491527" w16cid:durableId="2E32EFA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aintRock">
    <w15:presenceInfo w15:providerId="Windows Live" w15:userId="6e4bbb5638bc275b"/>
  </w15:person>
  <w15:person w15:author="Evan Tenorio">
    <w15:presenceInfo w15:providerId="None" w15:userId="Evan Tenori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6A4"/>
    <w:rsid w:val="00125A24"/>
    <w:rsid w:val="002B0269"/>
    <w:rsid w:val="003060A4"/>
    <w:rsid w:val="003143EB"/>
    <w:rsid w:val="003F74DD"/>
    <w:rsid w:val="005F02DF"/>
    <w:rsid w:val="00601210"/>
    <w:rsid w:val="006A7593"/>
    <w:rsid w:val="00BE1D85"/>
    <w:rsid w:val="00C10ADA"/>
    <w:rsid w:val="00E51337"/>
    <w:rsid w:val="00F256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3A65B"/>
  <w15:chartTrackingRefBased/>
  <w15:docId w15:val="{CD949A82-E510-4487-BB17-3FC33E764D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F02DF"/>
  </w:style>
  <w:style w:type="paragraph" w:styleId="Heading3">
    <w:name w:val="heading 3"/>
    <w:basedOn w:val="Normal"/>
    <w:link w:val="Heading3Char"/>
    <w:uiPriority w:val="9"/>
    <w:qFormat/>
    <w:rsid w:val="003F74D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5F02DF"/>
    <w:rPr>
      <w:sz w:val="16"/>
      <w:szCs w:val="16"/>
    </w:rPr>
  </w:style>
  <w:style w:type="paragraph" w:styleId="CommentText">
    <w:name w:val="annotation text"/>
    <w:basedOn w:val="Normal"/>
    <w:link w:val="CommentTextChar"/>
    <w:uiPriority w:val="99"/>
    <w:semiHidden/>
    <w:unhideWhenUsed/>
    <w:rsid w:val="005F02DF"/>
    <w:pPr>
      <w:spacing w:line="240" w:lineRule="auto"/>
    </w:pPr>
    <w:rPr>
      <w:sz w:val="20"/>
      <w:szCs w:val="20"/>
    </w:rPr>
  </w:style>
  <w:style w:type="character" w:customStyle="1" w:styleId="CommentTextChar">
    <w:name w:val="Comment Text Char"/>
    <w:basedOn w:val="DefaultParagraphFont"/>
    <w:link w:val="CommentText"/>
    <w:uiPriority w:val="99"/>
    <w:semiHidden/>
    <w:rsid w:val="005F02DF"/>
    <w:rPr>
      <w:sz w:val="20"/>
      <w:szCs w:val="20"/>
    </w:rPr>
  </w:style>
  <w:style w:type="paragraph" w:styleId="BalloonText">
    <w:name w:val="Balloon Text"/>
    <w:basedOn w:val="Normal"/>
    <w:link w:val="BalloonTextChar"/>
    <w:uiPriority w:val="99"/>
    <w:semiHidden/>
    <w:unhideWhenUsed/>
    <w:rsid w:val="005F02D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F02DF"/>
    <w:rPr>
      <w:rFonts w:ascii="Segoe UI" w:hAnsi="Segoe UI" w:cs="Segoe UI"/>
      <w:sz w:val="18"/>
      <w:szCs w:val="18"/>
    </w:rPr>
  </w:style>
  <w:style w:type="character" w:customStyle="1" w:styleId="Heading3Char">
    <w:name w:val="Heading 3 Char"/>
    <w:basedOn w:val="DefaultParagraphFont"/>
    <w:link w:val="Heading3"/>
    <w:uiPriority w:val="9"/>
    <w:rsid w:val="003F74DD"/>
    <w:rPr>
      <w:rFonts w:ascii="Times New Roman" w:eastAsia="Times New Roman" w:hAnsi="Times New Roman" w:cs="Times New Roman"/>
      <w:b/>
      <w:bCs/>
      <w:sz w:val="27"/>
      <w:szCs w:val="27"/>
    </w:rPr>
  </w:style>
  <w:style w:type="paragraph" w:customStyle="1" w:styleId="isselectedend">
    <w:name w:val="isselectedend"/>
    <w:basedOn w:val="Normal"/>
    <w:rsid w:val="003F74DD"/>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3F74DD"/>
    <w:pPr>
      <w:spacing w:before="100" w:beforeAutospacing="1" w:after="100" w:afterAutospacing="1" w:line="240" w:lineRule="auto"/>
    </w:pPr>
    <w:rPr>
      <w:rFonts w:ascii="Times New Roman" w:eastAsia="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6A7593"/>
    <w:rPr>
      <w:b/>
      <w:bCs/>
    </w:rPr>
  </w:style>
  <w:style w:type="character" w:customStyle="1" w:styleId="CommentSubjectChar">
    <w:name w:val="Comment Subject Char"/>
    <w:basedOn w:val="CommentTextChar"/>
    <w:link w:val="CommentSubject"/>
    <w:uiPriority w:val="99"/>
    <w:semiHidden/>
    <w:rsid w:val="006A759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8098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4" Type="http://schemas.openxmlformats.org/officeDocument/2006/relationships/comments" Target="commen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18</Pages>
  <Words>7444</Words>
  <Characters>42434</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PaintRock</dc:creator>
  <cp:keywords/>
  <dc:description/>
  <cp:lastModifiedBy>PaintRock</cp:lastModifiedBy>
  <cp:revision>6</cp:revision>
  <dcterms:created xsi:type="dcterms:W3CDTF">2026-08-06T20:43:00Z</dcterms:created>
  <dcterms:modified xsi:type="dcterms:W3CDTF">2026-08-21T21:11:00Z</dcterms:modified>
</cp:coreProperties>
</file>