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95E693" w14:textId="77777777" w:rsidR="005F1CA4" w:rsidRPr="005F1CA4" w:rsidRDefault="005F1CA4" w:rsidP="005F1CA4">
      <w:pPr>
        <w:spacing w:before="100" w:beforeAutospacing="1" w:after="100" w:afterAutospacing="1" w:line="240" w:lineRule="auto"/>
        <w:outlineLvl w:val="1"/>
        <w:rPr>
          <w:rFonts w:ascii="Times New Roman" w:eastAsia="Times New Roman" w:hAnsi="Times New Roman" w:cs="Times New Roman"/>
          <w:b/>
          <w:bCs/>
          <w:sz w:val="36"/>
          <w:szCs w:val="36"/>
        </w:rPr>
      </w:pPr>
      <w:bookmarkStart w:id="0" w:name="_Hlk237448418"/>
      <w:r w:rsidRPr="005F1CA4">
        <w:rPr>
          <w:rFonts w:ascii="Times New Roman" w:eastAsia="Times New Roman" w:hAnsi="Times New Roman" w:cs="Times New Roman"/>
          <w:b/>
          <w:bCs/>
          <w:sz w:val="36"/>
          <w:szCs w:val="36"/>
        </w:rPr>
        <w:t>2. Materials and Methods</w:t>
      </w:r>
    </w:p>
    <w:p w14:paraId="75BB565D" w14:textId="77777777" w:rsidR="005F1CA4" w:rsidRPr="005F1CA4" w:rsidRDefault="005F1CA4" w:rsidP="005F1CA4">
      <w:pPr>
        <w:spacing w:before="100" w:beforeAutospacing="1" w:after="100" w:afterAutospacing="1" w:line="240" w:lineRule="auto"/>
        <w:outlineLvl w:val="2"/>
        <w:rPr>
          <w:rFonts w:ascii="Times New Roman" w:eastAsia="Times New Roman" w:hAnsi="Times New Roman" w:cs="Times New Roman"/>
          <w:b/>
          <w:bCs/>
          <w:sz w:val="27"/>
          <w:szCs w:val="27"/>
        </w:rPr>
      </w:pPr>
      <w:r w:rsidRPr="005F1CA4">
        <w:rPr>
          <w:rFonts w:ascii="Times New Roman" w:eastAsia="Times New Roman" w:hAnsi="Times New Roman" w:cs="Times New Roman"/>
          <w:b/>
          <w:bCs/>
          <w:sz w:val="27"/>
          <w:szCs w:val="27"/>
        </w:rPr>
        <w:t>2.1. Study Site and Forest Census Data</w:t>
      </w:r>
    </w:p>
    <w:p w14:paraId="2EED1A22" w14:textId="733110F5" w:rsidR="005F1CA4" w:rsidRPr="005F1CA4" w:rsidRDefault="005F1CA4" w:rsidP="005F1CA4">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 xml:space="preserve">This study was conducted in the Paint Rock Forest Dynamics Plot, a 20-ha forest located in Jackson County, Alabama, USA (Figure). The study area is a mixed hardwood–pine temperate deciduous forest that regenerated following logging during the late nineteenth and early twentieth centuries (Lemke et al. 2025). The forest contains a diverse canopy community, including </w:t>
      </w:r>
      <w:r w:rsidRPr="005F1CA4">
        <w:rPr>
          <w:rFonts w:ascii="Times New Roman" w:eastAsia="Times New Roman" w:hAnsi="Times New Roman" w:cs="Times New Roman"/>
          <w:i/>
          <w:iCs/>
          <w:sz w:val="24"/>
          <w:szCs w:val="24"/>
        </w:rPr>
        <w:t xml:space="preserve">Liriodendron </w:t>
      </w:r>
      <w:proofErr w:type="spellStart"/>
      <w:r w:rsidRPr="005F1CA4">
        <w:rPr>
          <w:rFonts w:ascii="Times New Roman" w:eastAsia="Times New Roman" w:hAnsi="Times New Roman" w:cs="Times New Roman"/>
          <w:i/>
          <w:iCs/>
          <w:sz w:val="24"/>
          <w:szCs w:val="24"/>
        </w:rPr>
        <w:t>tulipifera</w:t>
      </w:r>
      <w:proofErr w:type="spellEnd"/>
      <w:r w:rsidRPr="005F1CA4">
        <w:rPr>
          <w:rFonts w:ascii="Times New Roman" w:eastAsia="Times New Roman" w:hAnsi="Times New Roman" w:cs="Times New Roman"/>
          <w:sz w:val="24"/>
          <w:szCs w:val="24"/>
        </w:rPr>
        <w:t xml:space="preserve">, </w:t>
      </w:r>
      <w:r w:rsidRPr="005F1CA4">
        <w:rPr>
          <w:rFonts w:ascii="Times New Roman" w:eastAsia="Times New Roman" w:hAnsi="Times New Roman" w:cs="Times New Roman"/>
          <w:i/>
          <w:iCs/>
          <w:sz w:val="24"/>
          <w:szCs w:val="24"/>
        </w:rPr>
        <w:t xml:space="preserve">Liquidambar </w:t>
      </w:r>
      <w:proofErr w:type="spellStart"/>
      <w:r w:rsidRPr="005F1CA4">
        <w:rPr>
          <w:rFonts w:ascii="Times New Roman" w:eastAsia="Times New Roman" w:hAnsi="Times New Roman" w:cs="Times New Roman"/>
          <w:i/>
          <w:iCs/>
          <w:sz w:val="24"/>
          <w:szCs w:val="24"/>
        </w:rPr>
        <w:t>styraciflua</w:t>
      </w:r>
      <w:proofErr w:type="spellEnd"/>
      <w:r w:rsidRPr="005F1CA4">
        <w:rPr>
          <w:rFonts w:ascii="Times New Roman" w:eastAsia="Times New Roman" w:hAnsi="Times New Roman" w:cs="Times New Roman"/>
          <w:sz w:val="24"/>
          <w:szCs w:val="24"/>
        </w:rPr>
        <w:t xml:space="preserve">, </w:t>
      </w:r>
      <w:r w:rsidRPr="005F1CA4">
        <w:rPr>
          <w:rFonts w:ascii="Times New Roman" w:eastAsia="Times New Roman" w:hAnsi="Times New Roman" w:cs="Times New Roman"/>
          <w:i/>
          <w:iCs/>
          <w:sz w:val="24"/>
          <w:szCs w:val="24"/>
        </w:rPr>
        <w:t xml:space="preserve">Fraxinus </w:t>
      </w:r>
      <w:proofErr w:type="spellStart"/>
      <w:r w:rsidRPr="005F1CA4">
        <w:rPr>
          <w:rFonts w:ascii="Times New Roman" w:eastAsia="Times New Roman" w:hAnsi="Times New Roman" w:cs="Times New Roman"/>
          <w:i/>
          <w:iCs/>
          <w:sz w:val="24"/>
          <w:szCs w:val="24"/>
        </w:rPr>
        <w:t>americana</w:t>
      </w:r>
      <w:proofErr w:type="spellEnd"/>
      <w:r w:rsidRPr="005F1CA4">
        <w:rPr>
          <w:rFonts w:ascii="Times New Roman" w:eastAsia="Times New Roman" w:hAnsi="Times New Roman" w:cs="Times New Roman"/>
          <w:sz w:val="24"/>
          <w:szCs w:val="24"/>
        </w:rPr>
        <w:t xml:space="preserve">, </w:t>
      </w:r>
      <w:proofErr w:type="spellStart"/>
      <w:r w:rsidRPr="005F1CA4">
        <w:rPr>
          <w:rFonts w:ascii="Times New Roman" w:eastAsia="Times New Roman" w:hAnsi="Times New Roman" w:cs="Times New Roman"/>
          <w:i/>
          <w:iCs/>
          <w:sz w:val="24"/>
          <w:szCs w:val="24"/>
        </w:rPr>
        <w:t>Carya</w:t>
      </w:r>
      <w:proofErr w:type="spellEnd"/>
      <w:r w:rsidRPr="005F1CA4">
        <w:rPr>
          <w:rFonts w:ascii="Times New Roman" w:eastAsia="Times New Roman" w:hAnsi="Times New Roman" w:cs="Times New Roman"/>
          <w:i/>
          <w:iCs/>
          <w:sz w:val="24"/>
          <w:szCs w:val="24"/>
        </w:rPr>
        <w:t xml:space="preserve"> </w:t>
      </w:r>
      <w:proofErr w:type="spellStart"/>
      <w:r w:rsidRPr="005F1CA4">
        <w:rPr>
          <w:rFonts w:ascii="Times New Roman" w:eastAsia="Times New Roman" w:hAnsi="Times New Roman" w:cs="Times New Roman"/>
          <w:i/>
          <w:iCs/>
          <w:sz w:val="24"/>
          <w:szCs w:val="24"/>
        </w:rPr>
        <w:t>cordiformis</w:t>
      </w:r>
      <w:proofErr w:type="spellEnd"/>
      <w:r w:rsidRPr="005F1CA4">
        <w:rPr>
          <w:rFonts w:ascii="Times New Roman" w:eastAsia="Times New Roman" w:hAnsi="Times New Roman" w:cs="Times New Roman"/>
          <w:sz w:val="24"/>
          <w:szCs w:val="24"/>
        </w:rPr>
        <w:t xml:space="preserve">, </w:t>
      </w:r>
      <w:r w:rsidRPr="005F1CA4">
        <w:rPr>
          <w:rFonts w:ascii="Times New Roman" w:eastAsia="Times New Roman" w:hAnsi="Times New Roman" w:cs="Times New Roman"/>
          <w:i/>
          <w:iCs/>
          <w:sz w:val="24"/>
          <w:szCs w:val="24"/>
        </w:rPr>
        <w:t>Quercus alba</w:t>
      </w:r>
      <w:r w:rsidRPr="005F1CA4">
        <w:rPr>
          <w:rFonts w:ascii="Times New Roman" w:eastAsia="Times New Roman" w:hAnsi="Times New Roman" w:cs="Times New Roman"/>
          <w:sz w:val="24"/>
          <w:szCs w:val="24"/>
        </w:rPr>
        <w:t xml:space="preserve">, and </w:t>
      </w:r>
      <w:r w:rsidRPr="005F1CA4">
        <w:rPr>
          <w:rFonts w:ascii="Times New Roman" w:eastAsia="Times New Roman" w:hAnsi="Times New Roman" w:cs="Times New Roman"/>
          <w:i/>
          <w:iCs/>
          <w:sz w:val="24"/>
          <w:szCs w:val="24"/>
        </w:rPr>
        <w:t xml:space="preserve">Quercus </w:t>
      </w:r>
      <w:proofErr w:type="spellStart"/>
      <w:r w:rsidRPr="005F1CA4">
        <w:rPr>
          <w:rFonts w:ascii="Times New Roman" w:eastAsia="Times New Roman" w:hAnsi="Times New Roman" w:cs="Times New Roman"/>
          <w:i/>
          <w:iCs/>
          <w:sz w:val="24"/>
          <w:szCs w:val="24"/>
        </w:rPr>
        <w:t>shumardii</w:t>
      </w:r>
      <w:proofErr w:type="spellEnd"/>
      <w:r w:rsidRPr="005F1CA4">
        <w:rPr>
          <w:rFonts w:ascii="Times New Roman" w:eastAsia="Times New Roman" w:hAnsi="Times New Roman" w:cs="Times New Roman"/>
          <w:sz w:val="24"/>
          <w:szCs w:val="24"/>
        </w:rPr>
        <w:t>, among other species (Lemke et al. 2025). Forest census data provide georeferenced information on tree location, species identity, diameter at breast height (DBH), and canopy position for individuals throughout the plot</w:t>
      </w:r>
      <w:r>
        <w:rPr>
          <w:rFonts w:ascii="Times New Roman" w:eastAsia="Times New Roman" w:hAnsi="Times New Roman" w:cs="Times New Roman"/>
          <w:sz w:val="24"/>
          <w:szCs w:val="24"/>
        </w:rPr>
        <w:t>.</w:t>
      </w:r>
    </w:p>
    <w:p w14:paraId="59105701" w14:textId="5ABF8B24" w:rsidR="005F1CA4" w:rsidRPr="005F1CA4" w:rsidRDefault="005F1CA4" w:rsidP="005F1CA4">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For this study, the 2024 tree census was filtered to retain individuals that represented the upper and intermediate canopy and could be reliably associated with the 2025 crown measurements. Trees were included when they had a DBH ≥200 mm</w:t>
      </w:r>
      <w:r>
        <w:rPr>
          <w:rFonts w:ascii="Times New Roman" w:eastAsia="Times New Roman" w:hAnsi="Times New Roman" w:cs="Times New Roman"/>
          <w:sz w:val="24"/>
          <w:szCs w:val="24"/>
        </w:rPr>
        <w:t xml:space="preserve"> and</w:t>
      </w:r>
      <w:r w:rsidRPr="005F1CA4">
        <w:rPr>
          <w:rFonts w:ascii="Times New Roman" w:eastAsia="Times New Roman" w:hAnsi="Times New Roman" w:cs="Times New Roman"/>
          <w:sz w:val="24"/>
          <w:szCs w:val="24"/>
        </w:rPr>
        <w:t xml:space="preserve"> a crown position class of 3</w:t>
      </w:r>
      <w:r>
        <w:rPr>
          <w:rFonts w:ascii="Times New Roman" w:eastAsia="Times New Roman" w:hAnsi="Times New Roman" w:cs="Times New Roman"/>
          <w:sz w:val="24"/>
          <w:szCs w:val="24"/>
        </w:rPr>
        <w:t>-</w:t>
      </w:r>
      <w:proofErr w:type="gramStart"/>
      <w:r w:rsidRPr="005F1CA4">
        <w:rPr>
          <w:rFonts w:ascii="Times New Roman" w:eastAsia="Times New Roman" w:hAnsi="Times New Roman" w:cs="Times New Roman"/>
          <w:sz w:val="24"/>
          <w:szCs w:val="24"/>
        </w:rPr>
        <w:t>5</w:t>
      </w:r>
      <w:r>
        <w:rPr>
          <w:rFonts w:ascii="Times New Roman" w:eastAsia="Times New Roman" w:hAnsi="Times New Roman" w:cs="Times New Roman"/>
          <w:sz w:val="24"/>
          <w:szCs w:val="24"/>
        </w:rPr>
        <w:t>.</w:t>
      </w:r>
      <w:r w:rsidRPr="005F1CA4">
        <w:rPr>
          <w:rFonts w:ascii="Times New Roman" w:eastAsia="Times New Roman" w:hAnsi="Times New Roman" w:cs="Times New Roman"/>
          <w:sz w:val="24"/>
          <w:szCs w:val="24"/>
        </w:rPr>
        <w:t>These</w:t>
      </w:r>
      <w:proofErr w:type="gramEnd"/>
      <w:r w:rsidRPr="005F1CA4">
        <w:rPr>
          <w:rFonts w:ascii="Times New Roman" w:eastAsia="Times New Roman" w:hAnsi="Times New Roman" w:cs="Times New Roman"/>
          <w:sz w:val="24"/>
          <w:szCs w:val="24"/>
        </w:rPr>
        <w:t xml:space="preserve"> criteria resulted in 4,007 tree crowns representing 50 </w:t>
      </w:r>
      <w:r w:rsidR="00B026EE" w:rsidRPr="005F1CA4">
        <w:rPr>
          <w:rFonts w:ascii="Times New Roman" w:eastAsia="Times New Roman" w:hAnsi="Times New Roman" w:cs="Times New Roman"/>
          <w:sz w:val="24"/>
          <w:szCs w:val="24"/>
        </w:rPr>
        <w:t>(Table)</w:t>
      </w:r>
      <w:r w:rsidR="00B026EE">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 xml:space="preserve">species available </w:t>
      </w:r>
      <w:r>
        <w:rPr>
          <w:rFonts w:ascii="Times New Roman" w:eastAsia="Times New Roman" w:hAnsi="Times New Roman" w:cs="Times New Roman"/>
          <w:sz w:val="24"/>
          <w:szCs w:val="24"/>
        </w:rPr>
        <w:t>out of XX across the study site</w:t>
      </w:r>
      <w:r w:rsidR="00B026EE">
        <w:rPr>
          <w:rFonts w:ascii="Times New Roman" w:eastAsia="Times New Roman" w:hAnsi="Times New Roman" w:cs="Times New Roman"/>
          <w:sz w:val="24"/>
          <w:szCs w:val="24"/>
        </w:rPr>
        <w:t>.</w:t>
      </w:r>
    </w:p>
    <w:p w14:paraId="62E6943B" w14:textId="61904905" w:rsidR="005F1CA4" w:rsidRPr="005F1CA4" w:rsidRDefault="005F1CA4" w:rsidP="005F1CA4">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 xml:space="preserve">Individual tree crowns were represented as circular buffers centered on the current UTM coordinates of each tree. </w:t>
      </w:r>
      <w:commentRangeStart w:id="1"/>
      <w:r w:rsidRPr="005F1CA4">
        <w:rPr>
          <w:rFonts w:ascii="Times New Roman" w:eastAsia="Times New Roman" w:hAnsi="Times New Roman" w:cs="Times New Roman"/>
          <w:sz w:val="24"/>
          <w:szCs w:val="24"/>
        </w:rPr>
        <w:t>Crown radius was calculated</w:t>
      </w:r>
      <w:r w:rsidR="00B026EE">
        <w:rPr>
          <w:rFonts w:ascii="Times New Roman" w:eastAsia="Times New Roman" w:hAnsi="Times New Roman" w:cs="Times New Roman"/>
          <w:sz w:val="24"/>
          <w:szCs w:val="24"/>
        </w:rPr>
        <w:t xml:space="preserve"> by… </w:t>
      </w:r>
      <w:commentRangeEnd w:id="1"/>
      <w:r w:rsidR="00B026EE">
        <w:rPr>
          <w:rStyle w:val="CommentReference"/>
        </w:rPr>
        <w:commentReference w:id="1"/>
      </w:r>
      <w:r w:rsidRPr="005F1CA4">
        <w:rPr>
          <w:rFonts w:ascii="Times New Roman" w:eastAsia="Times New Roman" w:hAnsi="Times New Roman" w:cs="Times New Roman"/>
          <w:sz w:val="24"/>
          <w:szCs w:val="24"/>
        </w:rPr>
        <w:t xml:space="preserve">. These crown representations were intersected with quadrats at three spatial grains (10, 20, and 50 m) to estimate the contribution of individual tree crowns to each quadrat (Figure). Rather than treating each tree as an equal contribution based solely on </w:t>
      </w:r>
      <w:r w:rsidR="00B026EE">
        <w:rPr>
          <w:rFonts w:ascii="Times New Roman" w:eastAsia="Times New Roman" w:hAnsi="Times New Roman" w:cs="Times New Roman"/>
          <w:sz w:val="24"/>
          <w:szCs w:val="24"/>
        </w:rPr>
        <w:t>crown</w:t>
      </w:r>
      <w:r w:rsidRPr="005F1CA4">
        <w:rPr>
          <w:rFonts w:ascii="Times New Roman" w:eastAsia="Times New Roman" w:hAnsi="Times New Roman" w:cs="Times New Roman"/>
          <w:sz w:val="24"/>
          <w:szCs w:val="24"/>
        </w:rPr>
        <w:t xml:space="preserve"> presence, species abundance within each quadrat was estimated from the proportion of each crown overlapping the quadrat.</w:t>
      </w:r>
      <w:r w:rsidR="00B026EE">
        <w:rPr>
          <w:rFonts w:ascii="Times New Roman" w:eastAsia="Times New Roman" w:hAnsi="Times New Roman" w:cs="Times New Roman"/>
          <w:sz w:val="24"/>
          <w:szCs w:val="24"/>
        </w:rPr>
        <w:t xml:space="preserve"> This was done to reflect the alignment of </w:t>
      </w:r>
      <w:proofErr w:type="gramStart"/>
      <w:r w:rsidR="00B026EE">
        <w:rPr>
          <w:rFonts w:ascii="Times New Roman" w:eastAsia="Times New Roman" w:hAnsi="Times New Roman" w:cs="Times New Roman"/>
          <w:sz w:val="24"/>
          <w:szCs w:val="24"/>
        </w:rPr>
        <w:t>species specific</w:t>
      </w:r>
      <w:proofErr w:type="gramEnd"/>
      <w:r w:rsidR="00B026EE">
        <w:rPr>
          <w:rFonts w:ascii="Times New Roman" w:eastAsia="Times New Roman" w:hAnsi="Times New Roman" w:cs="Times New Roman"/>
          <w:sz w:val="24"/>
          <w:szCs w:val="24"/>
        </w:rPr>
        <w:t xml:space="preserve"> leaf spectral characteristics.</w:t>
      </w:r>
      <w:r w:rsidRPr="005F1CA4">
        <w:rPr>
          <w:rFonts w:ascii="Times New Roman" w:eastAsia="Times New Roman" w:hAnsi="Times New Roman" w:cs="Times New Roman"/>
          <w:sz w:val="24"/>
          <w:szCs w:val="24"/>
        </w:rPr>
        <w:t xml:space="preserve"> The resulting values </w:t>
      </w:r>
      <w:r>
        <w:rPr>
          <w:rFonts w:ascii="Times New Roman" w:eastAsia="Times New Roman" w:hAnsi="Times New Roman" w:cs="Times New Roman"/>
          <w:sz w:val="24"/>
          <w:szCs w:val="24"/>
        </w:rPr>
        <w:t>were</w:t>
      </w:r>
      <w:r w:rsidRPr="005F1CA4">
        <w:rPr>
          <w:rFonts w:ascii="Times New Roman" w:eastAsia="Times New Roman" w:hAnsi="Times New Roman" w:cs="Times New Roman"/>
          <w:sz w:val="24"/>
          <w:szCs w:val="24"/>
        </w:rPr>
        <w:t xml:space="preserve"> a canopy-weighted representation of species abundance</w:t>
      </w:r>
      <w:r>
        <w:rPr>
          <w:rFonts w:ascii="Times New Roman" w:eastAsia="Times New Roman" w:hAnsi="Times New Roman" w:cs="Times New Roman"/>
          <w:sz w:val="24"/>
          <w:szCs w:val="24"/>
        </w:rPr>
        <w:t>.</w:t>
      </w:r>
    </w:p>
    <w:p w14:paraId="42D19797" w14:textId="77777777" w:rsidR="005F1CA4" w:rsidRPr="005F1CA4" w:rsidRDefault="005F1CA4" w:rsidP="005F1CA4">
      <w:pPr>
        <w:spacing w:before="100" w:beforeAutospacing="1" w:after="100" w:afterAutospacing="1" w:line="240" w:lineRule="auto"/>
        <w:outlineLvl w:val="2"/>
        <w:rPr>
          <w:rFonts w:ascii="Times New Roman" w:eastAsia="Times New Roman" w:hAnsi="Times New Roman" w:cs="Times New Roman"/>
          <w:b/>
          <w:bCs/>
          <w:sz w:val="27"/>
          <w:szCs w:val="27"/>
        </w:rPr>
      </w:pPr>
      <w:r w:rsidRPr="005F1CA4">
        <w:rPr>
          <w:rFonts w:ascii="Times New Roman" w:eastAsia="Times New Roman" w:hAnsi="Times New Roman" w:cs="Times New Roman"/>
          <w:b/>
          <w:bCs/>
          <w:sz w:val="27"/>
          <w:szCs w:val="27"/>
        </w:rPr>
        <w:t>2.2. Quadrat Design and Spatial Scales</w:t>
      </w:r>
    </w:p>
    <w:p w14:paraId="7DB154DE" w14:textId="146D19EA" w:rsidR="005F1CA4" w:rsidRPr="005F1CA4" w:rsidRDefault="005F1CA4" w:rsidP="005F1CA4">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The analysis was conducted at 10, 20, and 50 m spatial grains to evaluate</w:t>
      </w:r>
      <w:r w:rsidR="00B026EE">
        <w:rPr>
          <w:rFonts w:ascii="Times New Roman" w:eastAsia="Times New Roman" w:hAnsi="Times New Roman" w:cs="Times New Roman"/>
          <w:sz w:val="24"/>
          <w:szCs w:val="24"/>
        </w:rPr>
        <w:t xml:space="preserve"> how</w:t>
      </w:r>
      <w:r w:rsidRPr="005F1CA4">
        <w:rPr>
          <w:rFonts w:ascii="Times New Roman" w:eastAsia="Times New Roman" w:hAnsi="Times New Roman" w:cs="Times New Roman"/>
          <w:sz w:val="24"/>
          <w:szCs w:val="24"/>
        </w:rPr>
        <w:t xml:space="preserve"> the relationship between canopy spectral heterogeneity and biodiversity changed with spatial scale (Figure). Tree-crown buffers and hyperspectral pixels were spatially associated with the same quadrat boundaries at each scale</w:t>
      </w:r>
      <w:r>
        <w:rPr>
          <w:rFonts w:ascii="Times New Roman" w:eastAsia="Times New Roman" w:hAnsi="Times New Roman" w:cs="Times New Roman"/>
          <w:sz w:val="24"/>
          <w:szCs w:val="24"/>
        </w:rPr>
        <w:t>.</w:t>
      </w:r>
    </w:p>
    <w:p w14:paraId="7A48AE9F" w14:textId="4F0857B6" w:rsidR="00894C5A" w:rsidRPr="005F1CA4" w:rsidRDefault="00894C5A" w:rsidP="005F1CA4">
      <w:pPr>
        <w:spacing w:before="100" w:beforeAutospacing="1" w:after="100" w:afterAutospacing="1" w:line="240" w:lineRule="auto"/>
        <w:rPr>
          <w:rFonts w:ascii="Times New Roman" w:eastAsia="Times New Roman" w:hAnsi="Times New Roman" w:cs="Times New Roman"/>
          <w:sz w:val="24"/>
          <w:szCs w:val="24"/>
        </w:rPr>
      </w:pPr>
      <w:r w:rsidRPr="00894C5A">
        <w:rPr>
          <w:rFonts w:ascii="Times New Roman" w:eastAsia="Times New Roman" w:hAnsi="Times New Roman" w:cs="Times New Roman"/>
          <w:sz w:val="24"/>
          <w:szCs w:val="24"/>
        </w:rPr>
        <w:t>Documented edge quadrats were excluded from the primary 10 and 20 m analyses because their incomplete spatial coverage could affect canopy composition. No equivalent 50 m edge-exclusion criterion was applied. In addition, quadrats affected by substantial illumination distortions, including cloud</w:t>
      </w:r>
      <w:r w:rsidR="00B026EE">
        <w:rPr>
          <w:rFonts w:ascii="Times New Roman" w:eastAsia="Times New Roman" w:hAnsi="Times New Roman" w:cs="Times New Roman"/>
          <w:sz w:val="24"/>
          <w:szCs w:val="24"/>
        </w:rPr>
        <w:t xml:space="preserve"> </w:t>
      </w:r>
      <w:r w:rsidRPr="00894C5A">
        <w:rPr>
          <w:rFonts w:ascii="Times New Roman" w:eastAsia="Times New Roman" w:hAnsi="Times New Roman" w:cs="Times New Roman"/>
          <w:sz w:val="24"/>
          <w:szCs w:val="24"/>
        </w:rPr>
        <w:t>shadow interference, were excluded when insufficient sunlit spectral data remained for reliable spectral analysis</w:t>
      </w:r>
      <w:r>
        <w:rPr>
          <w:rFonts w:ascii="Times New Roman" w:eastAsia="Times New Roman" w:hAnsi="Times New Roman" w:cs="Times New Roman"/>
          <w:sz w:val="24"/>
          <w:szCs w:val="24"/>
        </w:rPr>
        <w:t xml:space="preserve">. </w:t>
      </w:r>
      <w:r w:rsidRPr="00894C5A">
        <w:rPr>
          <w:rFonts w:ascii="Times New Roman" w:eastAsia="Times New Roman" w:hAnsi="Times New Roman" w:cs="Times New Roman"/>
          <w:sz w:val="24"/>
          <w:szCs w:val="24"/>
        </w:rPr>
        <w:t>Some quadrats were also excluded because illumination conditions affected the quality of the hyperspectral data, resulting in gaps in the final spatial coverage (Figure). After applying the edge and illumination-based exclusions, 1,440, 360, and 74 quadrats remained for analysis at the 10, 20, and 50 m scales, respectively (Table).</w:t>
      </w:r>
    </w:p>
    <w:p w14:paraId="1F1CB2E9" w14:textId="77777777" w:rsidR="005F1CA4" w:rsidRPr="005F1CA4" w:rsidRDefault="005F1CA4" w:rsidP="005F1CA4">
      <w:pPr>
        <w:spacing w:before="100" w:beforeAutospacing="1" w:after="100" w:afterAutospacing="1" w:line="240" w:lineRule="auto"/>
        <w:outlineLvl w:val="2"/>
        <w:rPr>
          <w:rFonts w:ascii="Times New Roman" w:eastAsia="Times New Roman" w:hAnsi="Times New Roman" w:cs="Times New Roman"/>
          <w:b/>
          <w:bCs/>
          <w:sz w:val="27"/>
          <w:szCs w:val="27"/>
        </w:rPr>
      </w:pPr>
      <w:r w:rsidRPr="005F1CA4">
        <w:rPr>
          <w:rFonts w:ascii="Times New Roman" w:eastAsia="Times New Roman" w:hAnsi="Times New Roman" w:cs="Times New Roman"/>
          <w:b/>
          <w:bCs/>
          <w:sz w:val="27"/>
          <w:szCs w:val="27"/>
        </w:rPr>
        <w:t>2.3.</w:t>
      </w:r>
      <w:commentRangeStart w:id="2"/>
      <w:r w:rsidRPr="005F1CA4">
        <w:rPr>
          <w:rFonts w:ascii="Times New Roman" w:eastAsia="Times New Roman" w:hAnsi="Times New Roman" w:cs="Times New Roman"/>
          <w:b/>
          <w:bCs/>
          <w:sz w:val="27"/>
          <w:szCs w:val="27"/>
        </w:rPr>
        <w:t xml:space="preserve"> Species and Phylogenetic Diversity</w:t>
      </w:r>
      <w:commentRangeEnd w:id="2"/>
      <w:r w:rsidR="00B026EE">
        <w:rPr>
          <w:rStyle w:val="CommentReference"/>
        </w:rPr>
        <w:commentReference w:id="2"/>
      </w:r>
    </w:p>
    <w:p w14:paraId="2B0865B8" w14:textId="6A05B03F" w:rsidR="005F1CA4" w:rsidRPr="005F1CA4" w:rsidRDefault="005F1CA4" w:rsidP="005F1CA4">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lastRenderedPageBreak/>
        <w:t>Species diversity was calculated from the canopy-weighted species-by-quadrat abundance matrices generated from the tree-crown intersections</w:t>
      </w:r>
      <w:r w:rsidR="00B026EE">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Species richness, Shannon diversity, Simpson diversity, and evenness were calculated for each quadrat. Shannon diversity was calculated from proportional species abundance, whereas Simpson diversity was calculated as one minus the sum of squared proportional abundances. Evenness was calculated as Shannon diversity divided by the natural logarithm of species richness when more than one species was present.</w:t>
      </w:r>
    </w:p>
    <w:p w14:paraId="7C330BD9" w14:textId="1082493E" w:rsidR="005F1CA4" w:rsidRPr="005F1CA4" w:rsidRDefault="005F1CA4" w:rsidP="005F1CA4">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 xml:space="preserve">Phylogenetic diversity was calculated using a phylogeny generated from the 51-species taxonomy table. The phylogeny was constructed using the </w:t>
      </w:r>
      <w:proofErr w:type="gramStart"/>
      <w:r w:rsidRPr="005F1CA4">
        <w:rPr>
          <w:rFonts w:ascii="Times New Roman" w:eastAsia="Times New Roman" w:hAnsi="Times New Roman" w:cs="Times New Roman"/>
          <w:i/>
          <w:iCs/>
          <w:sz w:val="24"/>
          <w:szCs w:val="24"/>
        </w:rPr>
        <w:t>V.PhyloMaker</w:t>
      </w:r>
      <w:proofErr w:type="gramEnd"/>
      <w:r w:rsidRPr="005F1CA4">
        <w:rPr>
          <w:rFonts w:ascii="Times New Roman" w:eastAsia="Times New Roman" w:hAnsi="Times New Roman" w:cs="Times New Roman"/>
          <w:i/>
          <w:iCs/>
          <w:sz w:val="24"/>
          <w:szCs w:val="24"/>
        </w:rPr>
        <w:t>2</w:t>
      </w:r>
      <w:r w:rsidRPr="005F1CA4">
        <w:rPr>
          <w:rFonts w:ascii="Times New Roman" w:eastAsia="Times New Roman" w:hAnsi="Times New Roman" w:cs="Times New Roman"/>
          <w:sz w:val="24"/>
          <w:szCs w:val="24"/>
        </w:rPr>
        <w:t xml:space="preserve"> R package with the </w:t>
      </w:r>
      <w:proofErr w:type="spellStart"/>
      <w:r w:rsidRPr="005F1CA4">
        <w:rPr>
          <w:rFonts w:ascii="Times New Roman" w:eastAsia="Times New Roman" w:hAnsi="Times New Roman" w:cs="Times New Roman"/>
          <w:sz w:val="24"/>
          <w:szCs w:val="24"/>
        </w:rPr>
        <w:t>GBOTB.extended.TPL</w:t>
      </w:r>
      <w:proofErr w:type="spellEnd"/>
      <w:r w:rsidRPr="005F1CA4">
        <w:rPr>
          <w:rFonts w:ascii="Times New Roman" w:eastAsia="Times New Roman" w:hAnsi="Times New Roman" w:cs="Times New Roman"/>
          <w:sz w:val="24"/>
          <w:szCs w:val="24"/>
        </w:rPr>
        <w:t xml:space="preserve"> backbone and scenario S3</w:t>
      </w:r>
      <w:r w:rsidR="00B026EE">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Species codes from the forest census were subsequently matched to the corresponding genus and species names in the phylogenetic tree (</w:t>
      </w:r>
      <w:r w:rsidR="00B026EE">
        <w:rPr>
          <w:rFonts w:ascii="Times New Roman" w:eastAsia="Times New Roman" w:hAnsi="Times New Roman" w:cs="Times New Roman"/>
          <w:sz w:val="24"/>
          <w:szCs w:val="24"/>
        </w:rPr>
        <w:t>figure</w:t>
      </w:r>
      <w:r w:rsidRPr="005F1CA4">
        <w:rPr>
          <w:rFonts w:ascii="Times New Roman" w:eastAsia="Times New Roman" w:hAnsi="Times New Roman" w:cs="Times New Roman"/>
          <w:sz w:val="24"/>
          <w:szCs w:val="24"/>
        </w:rPr>
        <w:t>).</w:t>
      </w:r>
    </w:p>
    <w:p w14:paraId="4D5A7306" w14:textId="77777777" w:rsidR="005F1CA4" w:rsidRPr="005F1CA4" w:rsidRDefault="005F1CA4" w:rsidP="005F1CA4">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Three phylogenetic measures were calculated for each quadrat: Faith's phylogenetic diversity (PD), phylogenetic Rao's Q, and abundance-weighted Faith's PD. Faith's PD was calculated as the total branch length connecting the species present within each quadrat. Phylogenetic Rao's Q was calculated from the cophenetic phylogenetic distance matrix using normalized species abundances. Abundance-weighted Faith's PD incorporated the proportional crown abundance of each species when calculating the contribution of terminal branches to total phylogenetic diversity. This approach allowed phylogenetic diversity to reflect not only the evolutionary distinctiveness of species present within a quadrat but also their relative contribution to the canopy (Table).</w:t>
      </w:r>
    </w:p>
    <w:p w14:paraId="21FB9C4D" w14:textId="77777777" w:rsidR="005F1CA4" w:rsidRPr="005F1CA4" w:rsidRDefault="005F1CA4" w:rsidP="005F1CA4">
      <w:pPr>
        <w:spacing w:before="100" w:beforeAutospacing="1" w:after="100" w:afterAutospacing="1" w:line="240" w:lineRule="auto"/>
        <w:outlineLvl w:val="2"/>
        <w:rPr>
          <w:rFonts w:ascii="Times New Roman" w:eastAsia="Times New Roman" w:hAnsi="Times New Roman" w:cs="Times New Roman"/>
          <w:b/>
          <w:bCs/>
          <w:sz w:val="27"/>
          <w:szCs w:val="27"/>
        </w:rPr>
      </w:pPr>
      <w:r w:rsidRPr="005F1CA4">
        <w:rPr>
          <w:rFonts w:ascii="Times New Roman" w:eastAsia="Times New Roman" w:hAnsi="Times New Roman" w:cs="Times New Roman"/>
          <w:b/>
          <w:bCs/>
          <w:sz w:val="27"/>
          <w:szCs w:val="27"/>
        </w:rPr>
        <w:t>2.4. Hyperspectral Data Collection and Processing</w:t>
      </w:r>
    </w:p>
    <w:p w14:paraId="4CA7F7C2" w14:textId="77777777" w:rsidR="005F1CA4" w:rsidRPr="005F1CA4" w:rsidRDefault="005F1CA4" w:rsidP="005F1CA4">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 xml:space="preserve">Drone-based hyperspectral imagery was collected over the study area in June 2024 using a Headwall Micro A-series visible and near-infrared push-broom imaging sensor. The sensor recorded reflectance from approximately 396 to 1002 nm across 328 spectral bands at an approximate spectral resolution of 2 nm and a spatial resolution of 10 cm. The sensor was mounted on a DJI </w:t>
      </w:r>
      <w:proofErr w:type="spellStart"/>
      <w:r w:rsidRPr="005F1CA4">
        <w:rPr>
          <w:rFonts w:ascii="Times New Roman" w:eastAsia="Times New Roman" w:hAnsi="Times New Roman" w:cs="Times New Roman"/>
          <w:sz w:val="24"/>
          <w:szCs w:val="24"/>
        </w:rPr>
        <w:t>Matrice</w:t>
      </w:r>
      <w:proofErr w:type="spellEnd"/>
      <w:r w:rsidRPr="005F1CA4">
        <w:rPr>
          <w:rFonts w:ascii="Times New Roman" w:eastAsia="Times New Roman" w:hAnsi="Times New Roman" w:cs="Times New Roman"/>
          <w:sz w:val="24"/>
          <w:szCs w:val="24"/>
        </w:rPr>
        <w:t xml:space="preserve"> 600 unmanned aerial system and incorporated an APX-15 Global Positioning System/Inertial Measurement Unit for georeferencing (Figure).</w:t>
      </w:r>
    </w:p>
    <w:p w14:paraId="62D8B9BF" w14:textId="77777777" w:rsidR="005F1CA4" w:rsidRPr="005F1CA4" w:rsidRDefault="005F1CA4" w:rsidP="005F1CA4">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 xml:space="preserve">Reference standards were used during image acquisition and radiometric processing to account for illumination conditions and convert measured radiance to reflectance. The hyperspectral imagery was orthorectified and georeferenced to the World Geodetic System 1984 Universal Transverse Mercator coordinate system, Zone 16. </w:t>
      </w:r>
      <w:commentRangeStart w:id="3"/>
      <w:r w:rsidRPr="005F1CA4">
        <w:rPr>
          <w:rFonts w:ascii="Times New Roman" w:eastAsia="Times New Roman" w:hAnsi="Times New Roman" w:cs="Times New Roman"/>
          <w:sz w:val="24"/>
          <w:szCs w:val="24"/>
        </w:rPr>
        <w:t>Additional details of image acquisition and radiometric processing are described in the associated hyperspectral data collection workflow.</w:t>
      </w:r>
      <w:commentRangeEnd w:id="3"/>
      <w:r w:rsidR="00B026EE">
        <w:rPr>
          <w:rStyle w:val="CommentReference"/>
        </w:rPr>
        <w:commentReference w:id="3"/>
      </w:r>
    </w:p>
    <w:p w14:paraId="2F5AC049" w14:textId="08574204" w:rsidR="005F1CA4" w:rsidRPr="005F1CA4" w:rsidRDefault="005F1CA4" w:rsidP="005F1CA4">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The resulting hyperspectral imagery was spatially partitioned into</w:t>
      </w:r>
      <w:r w:rsidR="00B026EE">
        <w:rPr>
          <w:rFonts w:ascii="Times New Roman" w:eastAsia="Times New Roman" w:hAnsi="Times New Roman" w:cs="Times New Roman"/>
          <w:sz w:val="24"/>
          <w:szCs w:val="24"/>
        </w:rPr>
        <w:t xml:space="preserve"> 10, 20, and 50m</w:t>
      </w:r>
      <w:r w:rsidRPr="005F1CA4">
        <w:rPr>
          <w:rFonts w:ascii="Times New Roman" w:eastAsia="Times New Roman" w:hAnsi="Times New Roman" w:cs="Times New Roman"/>
          <w:sz w:val="24"/>
          <w:szCs w:val="24"/>
        </w:rPr>
        <w:t xml:space="preserve"> quadrats</w:t>
      </w:r>
      <w:r w:rsidR="00B026EE">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Hyperspectral tiles affected by substantial illumination distortions, including cloud-shadow interference, were removed prior to pixel selection. Within the remaining imagery, pixels were selected based on their spatial position within overlapping scan lines to reduce the influence of scan-angle-related distortions. Quadrats with insufficient valid hyperspectral coverage following these quality-control procedures were excluded from subsequent analyses</w:t>
      </w:r>
      <w:r w:rsidR="00B026EE">
        <w:rPr>
          <w:rFonts w:ascii="Times New Roman" w:eastAsia="Times New Roman" w:hAnsi="Times New Roman" w:cs="Times New Roman"/>
          <w:sz w:val="24"/>
          <w:szCs w:val="24"/>
        </w:rPr>
        <w:t>.</w:t>
      </w:r>
    </w:p>
    <w:p w14:paraId="478F7993" w14:textId="5295C184" w:rsidR="005F1CA4" w:rsidRPr="005F1CA4" w:rsidRDefault="00B026EE" w:rsidP="005F1CA4">
      <w:pPr>
        <w:spacing w:before="100" w:beforeAutospacing="1" w:after="100" w:afterAutospacing="1" w:line="240" w:lineRule="auto"/>
        <w:rPr>
          <w:rFonts w:ascii="Times New Roman" w:eastAsia="Times New Roman" w:hAnsi="Times New Roman" w:cs="Times New Roman"/>
          <w:sz w:val="24"/>
          <w:szCs w:val="24"/>
        </w:rPr>
      </w:pPr>
      <w:r w:rsidRPr="00B026EE">
        <w:rPr>
          <w:rFonts w:ascii="Times New Roman" w:eastAsia="Times New Roman" w:hAnsi="Times New Roman" w:cs="Times New Roman"/>
          <w:sz w:val="24"/>
          <w:szCs w:val="24"/>
        </w:rPr>
        <w:lastRenderedPageBreak/>
        <w:t xml:space="preserve">Spectral data were first smoothed using a </w:t>
      </w:r>
      <w:proofErr w:type="spellStart"/>
      <w:r w:rsidRPr="00B026EE">
        <w:rPr>
          <w:rFonts w:ascii="Times New Roman" w:eastAsia="Times New Roman" w:hAnsi="Times New Roman" w:cs="Times New Roman"/>
          <w:sz w:val="24"/>
          <w:szCs w:val="24"/>
        </w:rPr>
        <w:t>Savitzky</w:t>
      </w:r>
      <w:proofErr w:type="spellEnd"/>
      <w:r w:rsidRPr="00B026EE">
        <w:rPr>
          <w:rFonts w:ascii="Times New Roman" w:eastAsia="Times New Roman" w:hAnsi="Times New Roman" w:cs="Times New Roman"/>
          <w:sz w:val="24"/>
          <w:szCs w:val="24"/>
        </w:rPr>
        <w:t>–</w:t>
      </w:r>
      <w:proofErr w:type="spellStart"/>
      <w:r w:rsidRPr="00B026EE">
        <w:rPr>
          <w:rFonts w:ascii="Times New Roman" w:eastAsia="Times New Roman" w:hAnsi="Times New Roman" w:cs="Times New Roman"/>
          <w:sz w:val="24"/>
          <w:szCs w:val="24"/>
        </w:rPr>
        <w:t>Golay</w:t>
      </w:r>
      <w:proofErr w:type="spellEnd"/>
      <w:r w:rsidRPr="00B026EE">
        <w:rPr>
          <w:rFonts w:ascii="Times New Roman" w:eastAsia="Times New Roman" w:hAnsi="Times New Roman" w:cs="Times New Roman"/>
          <w:sz w:val="24"/>
          <w:szCs w:val="24"/>
        </w:rPr>
        <w:t xml:space="preserve"> filter in R with the </w:t>
      </w:r>
      <w:proofErr w:type="gramStart"/>
      <w:r w:rsidRPr="00B026EE">
        <w:rPr>
          <w:rFonts w:ascii="Times New Roman" w:eastAsia="Times New Roman" w:hAnsi="Times New Roman" w:cs="Times New Roman"/>
          <w:sz w:val="24"/>
          <w:szCs w:val="24"/>
        </w:rPr>
        <w:t>signal::</w:t>
      </w:r>
      <w:proofErr w:type="spellStart"/>
      <w:proofErr w:type="gramEnd"/>
      <w:r w:rsidRPr="00B026EE">
        <w:rPr>
          <w:rFonts w:ascii="Times New Roman" w:eastAsia="Times New Roman" w:hAnsi="Times New Roman" w:cs="Times New Roman"/>
          <w:sz w:val="24"/>
          <w:szCs w:val="24"/>
        </w:rPr>
        <w:t>sgolayfilt</w:t>
      </w:r>
      <w:proofErr w:type="spellEnd"/>
      <w:r w:rsidRPr="00B026EE">
        <w:rPr>
          <w:rFonts w:ascii="Times New Roman" w:eastAsia="Times New Roman" w:hAnsi="Times New Roman" w:cs="Times New Roman"/>
          <w:sz w:val="24"/>
          <w:szCs w:val="24"/>
        </w:rPr>
        <w:t>() function, using a third-order polynomial (p = 3) and a window size of 15 (n = 15), applied across the spectral dimension for each pixel spectrum.</w:t>
      </w:r>
      <w:r>
        <w:rPr>
          <w:rFonts w:ascii="Times New Roman" w:eastAsia="Times New Roman" w:hAnsi="Times New Roman" w:cs="Times New Roman"/>
          <w:sz w:val="24"/>
          <w:szCs w:val="24"/>
        </w:rPr>
        <w:t xml:space="preserve"> </w:t>
      </w:r>
      <w:r w:rsidR="005F1CA4" w:rsidRPr="005F1CA4">
        <w:rPr>
          <w:rFonts w:ascii="Times New Roman" w:eastAsia="Times New Roman" w:hAnsi="Times New Roman" w:cs="Times New Roman"/>
          <w:sz w:val="24"/>
          <w:szCs w:val="24"/>
        </w:rPr>
        <w:t>Spectral data</w:t>
      </w:r>
      <w:r>
        <w:rPr>
          <w:rFonts w:ascii="Times New Roman" w:eastAsia="Times New Roman" w:hAnsi="Times New Roman" w:cs="Times New Roman"/>
          <w:sz w:val="24"/>
          <w:szCs w:val="24"/>
        </w:rPr>
        <w:t xml:space="preserve"> were</w:t>
      </w:r>
      <w:r w:rsidR="005F1CA4" w:rsidRPr="005F1CA4">
        <w:rPr>
          <w:rFonts w:ascii="Times New Roman" w:eastAsia="Times New Roman" w:hAnsi="Times New Roman" w:cs="Times New Roman"/>
          <w:sz w:val="24"/>
          <w:szCs w:val="24"/>
        </w:rPr>
        <w:t xml:space="preserve"> resampled from approximately 2 nm to 5 nm wavelength intervals to reduce spectral dimensionality and computational requirements. A shadow mask was then applied to distinguish sunlit and shaded pixels. The threshold for shadow masking was based on reflectance at 563 nm, with a threshold of 0.0305476 used to retain pixels classified as sunlit</w:t>
      </w:r>
      <w:r>
        <w:rPr>
          <w:rFonts w:ascii="Times New Roman" w:eastAsia="Times New Roman" w:hAnsi="Times New Roman" w:cs="Times New Roman"/>
          <w:sz w:val="24"/>
          <w:szCs w:val="24"/>
        </w:rPr>
        <w:t xml:space="preserve">. </w:t>
      </w:r>
      <w:r w:rsidR="005F1CA4" w:rsidRPr="005F1CA4">
        <w:rPr>
          <w:rFonts w:ascii="Times New Roman" w:eastAsia="Times New Roman" w:hAnsi="Times New Roman" w:cs="Times New Roman"/>
          <w:sz w:val="24"/>
          <w:szCs w:val="24"/>
        </w:rPr>
        <w:t>The resulting sunlit spectra were used for calculation of spectral diversity and PCA-based spectral heterogeneity.</w:t>
      </w:r>
    </w:p>
    <w:p w14:paraId="6637DA10" w14:textId="77777777" w:rsidR="005F1CA4" w:rsidRPr="005F1CA4" w:rsidRDefault="005F1CA4" w:rsidP="005F1CA4">
      <w:pPr>
        <w:spacing w:before="100" w:beforeAutospacing="1" w:after="100" w:afterAutospacing="1" w:line="240" w:lineRule="auto"/>
        <w:outlineLvl w:val="2"/>
        <w:rPr>
          <w:rFonts w:ascii="Times New Roman" w:eastAsia="Times New Roman" w:hAnsi="Times New Roman" w:cs="Times New Roman"/>
          <w:b/>
          <w:bCs/>
          <w:sz w:val="27"/>
          <w:szCs w:val="27"/>
        </w:rPr>
      </w:pPr>
      <w:r w:rsidRPr="005F1CA4">
        <w:rPr>
          <w:rFonts w:ascii="Times New Roman" w:eastAsia="Times New Roman" w:hAnsi="Times New Roman" w:cs="Times New Roman"/>
          <w:b/>
          <w:bCs/>
          <w:sz w:val="27"/>
          <w:szCs w:val="27"/>
        </w:rPr>
        <w:t xml:space="preserve">2.5. </w:t>
      </w:r>
      <w:commentRangeStart w:id="4"/>
      <w:r w:rsidRPr="005F1CA4">
        <w:rPr>
          <w:rFonts w:ascii="Times New Roman" w:eastAsia="Times New Roman" w:hAnsi="Times New Roman" w:cs="Times New Roman"/>
          <w:b/>
          <w:bCs/>
          <w:sz w:val="27"/>
          <w:szCs w:val="27"/>
        </w:rPr>
        <w:t>Spectral Heterogeneity</w:t>
      </w:r>
      <w:commentRangeEnd w:id="4"/>
      <w:r w:rsidR="00B026EE">
        <w:rPr>
          <w:rStyle w:val="CommentReference"/>
        </w:rPr>
        <w:commentReference w:id="4"/>
      </w:r>
    </w:p>
    <w:p w14:paraId="07B5739A" w14:textId="47FCB8DF" w:rsidR="005F1CA4" w:rsidRPr="005F1CA4" w:rsidRDefault="005F1CA4" w:rsidP="005F1CA4">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 xml:space="preserve">Spectral heterogeneity was quantified using spectral angle entropy and PCA-based measures of spectral dispersion. Spectral angle entropy was calculated from the distribution of spectral angles among retained sunlit pixels within each quadrat. Because the number of pairwise comparisons increases rapidly with the number of pixels, exact all-pixel calculations were restricted to quadrats with sufficiently small pixel populations. For larger quadrats, spectral angle entropy was estimated using bootstrap sampling with 70 replicates. Up to 5,000 pixels were sampled per replicate to calculate the spectral-angle </w:t>
      </w:r>
      <w:r w:rsidR="00B026EE">
        <w:rPr>
          <w:rFonts w:ascii="Times New Roman" w:eastAsia="Times New Roman" w:hAnsi="Times New Roman" w:cs="Times New Roman"/>
          <w:sz w:val="24"/>
          <w:szCs w:val="24"/>
        </w:rPr>
        <w:t>entropy</w:t>
      </w:r>
      <w:r w:rsidRPr="005F1CA4">
        <w:rPr>
          <w:rFonts w:ascii="Times New Roman" w:eastAsia="Times New Roman" w:hAnsi="Times New Roman" w:cs="Times New Roman"/>
          <w:sz w:val="24"/>
          <w:szCs w:val="24"/>
        </w:rPr>
        <w:t>. Bootstrap variability and confidence intervals were retained to assess the consistency of the resulting estimates (Table).</w:t>
      </w:r>
    </w:p>
    <w:p w14:paraId="5720A1FA" w14:textId="42EE2AAB" w:rsidR="005F1CA4" w:rsidRPr="005F1CA4" w:rsidRDefault="005F1CA4" w:rsidP="005F1CA4">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PCA-based spectral heterogeneity was calculated using a common PCA coordinate system derived from the 10 m spectral footprint. This approach provided a consistent spectral space across the three spatial grains rather than recalculating PCA independently for each quadrat size. Up to 450 illuminated pixels were sampled from each 10 m smoothed 5-nm spectral raster following shadow masking. The resulting PCA was based on 854,767 sampled pixels and 121 spectral bands</w:t>
      </w:r>
      <w:r w:rsidR="00B026EE">
        <w:rPr>
          <w:rFonts w:ascii="Times New Roman" w:eastAsia="Times New Roman" w:hAnsi="Times New Roman" w:cs="Times New Roman"/>
          <w:sz w:val="24"/>
          <w:szCs w:val="24"/>
        </w:rPr>
        <w:t>.</w:t>
      </w:r>
    </w:p>
    <w:p w14:paraId="19F2D528" w14:textId="6769347F" w:rsidR="005F1CA4" w:rsidRPr="005F1CA4" w:rsidRDefault="005F1CA4" w:rsidP="005F1CA4">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 xml:space="preserve">The initial PCA was conducted using the reflectance spectra prior to vector normalization. Mean reflectance across wavelengths was used as a proxy for overall spectral brightness to evaluate the extent to which illumination-related variation was represented in the PCA. PC1 was strongly correlated with mean reflectance, with a Pearson correlation of </w:t>
      </w:r>
      <w:r w:rsidRPr="005F1CA4">
        <w:rPr>
          <w:rFonts w:ascii="Times New Roman" w:eastAsia="Times New Roman" w:hAnsi="Times New Roman" w:cs="Times New Roman"/>
          <w:i/>
          <w:iCs/>
          <w:sz w:val="24"/>
          <w:szCs w:val="24"/>
        </w:rPr>
        <w:t>r</w:t>
      </w:r>
      <w:r w:rsidRPr="005F1CA4">
        <w:rPr>
          <w:rFonts w:ascii="Times New Roman" w:eastAsia="Times New Roman" w:hAnsi="Times New Roman" w:cs="Times New Roman"/>
          <w:sz w:val="24"/>
          <w:szCs w:val="24"/>
        </w:rPr>
        <w:t xml:space="preserve"> = 0.892 at the pixel level (</w:t>
      </w:r>
      <w:r w:rsidRPr="005F1CA4">
        <w:rPr>
          <w:rFonts w:ascii="Times New Roman" w:eastAsia="Times New Roman" w:hAnsi="Times New Roman" w:cs="Times New Roman"/>
          <w:i/>
          <w:iCs/>
          <w:sz w:val="24"/>
          <w:szCs w:val="24"/>
        </w:rPr>
        <w:t>R</w:t>
      </w:r>
      <w:r w:rsidRPr="005F1CA4">
        <w:rPr>
          <w:rFonts w:ascii="Times New Roman" w:eastAsia="Times New Roman" w:hAnsi="Times New Roman" w:cs="Times New Roman"/>
          <w:sz w:val="24"/>
          <w:szCs w:val="24"/>
        </w:rPr>
        <w:t xml:space="preserve">² = 0.795). When PC1 scores and mean reflectance were averaged within quadrats at the 50 m scale, the correlation increased to </w:t>
      </w:r>
      <w:r w:rsidRPr="005F1CA4">
        <w:rPr>
          <w:rFonts w:ascii="Times New Roman" w:eastAsia="Times New Roman" w:hAnsi="Times New Roman" w:cs="Times New Roman"/>
          <w:i/>
          <w:iCs/>
          <w:sz w:val="24"/>
          <w:szCs w:val="24"/>
        </w:rPr>
        <w:t>r</w:t>
      </w:r>
      <w:r w:rsidRPr="005F1CA4">
        <w:rPr>
          <w:rFonts w:ascii="Times New Roman" w:eastAsia="Times New Roman" w:hAnsi="Times New Roman" w:cs="Times New Roman"/>
          <w:sz w:val="24"/>
          <w:szCs w:val="24"/>
        </w:rPr>
        <w:t xml:space="preserve"> = 0.924 (</w:t>
      </w:r>
      <w:r w:rsidRPr="005F1CA4">
        <w:rPr>
          <w:rFonts w:ascii="Times New Roman" w:eastAsia="Times New Roman" w:hAnsi="Times New Roman" w:cs="Times New Roman"/>
          <w:i/>
          <w:iCs/>
          <w:sz w:val="24"/>
          <w:szCs w:val="24"/>
        </w:rPr>
        <w:t>R</w:t>
      </w:r>
      <w:r w:rsidRPr="005F1CA4">
        <w:rPr>
          <w:rFonts w:ascii="Times New Roman" w:eastAsia="Times New Roman" w:hAnsi="Times New Roman" w:cs="Times New Roman"/>
          <w:sz w:val="24"/>
          <w:szCs w:val="24"/>
        </w:rPr>
        <w:t>² = 0.854). Thus, brightness accounted for approximately 79.5% of pixel-level PC1 variation and 85.4% of among-quadrat variation in mean PC1 scores</w:t>
      </w:r>
      <w:r w:rsidR="00B026EE">
        <w:rPr>
          <w:rFonts w:ascii="Times New Roman" w:eastAsia="Times New Roman" w:hAnsi="Times New Roman" w:cs="Times New Roman"/>
          <w:sz w:val="24"/>
          <w:szCs w:val="24"/>
        </w:rPr>
        <w:t xml:space="preserve">. </w:t>
      </w:r>
    </w:p>
    <w:p w14:paraId="13E81123" w14:textId="4A0FEC90" w:rsidR="005F1CA4" w:rsidRPr="005F1CA4" w:rsidRDefault="005F1CA4" w:rsidP="005F1CA4">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Because of this strong association between the original PC1 and spectral brightness, the spectra were vector normalized before construction of the standardized PCA basis. Vector normalization was used to reduce variation associated with overall spectral magnitude while retaining relative differences in spectral shape. The standardized PCA explained 45.46%, 22.54%, and 6.80% of spectral variation on PC1, PC2, and PC3, respectively, accounting for 74.80% of the total variation across the first three components (Figure).</w:t>
      </w:r>
    </w:p>
    <w:p w14:paraId="48E628A2" w14:textId="79DC0BED" w:rsidR="005F1CA4" w:rsidRDefault="005F1CA4" w:rsidP="005F1CA4">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 xml:space="preserve">For each quadrat, retained spectra were projected into the standardized PCA space, and a spectral centroid was calculated from the PC1–PC3 scores. The Euclidean distance between each pixel and the quadrat centroid was then calculated, and the mean of these distances was used as the </w:t>
      </w:r>
      <w:r w:rsidRPr="005F1CA4">
        <w:rPr>
          <w:rFonts w:ascii="Times New Roman" w:eastAsia="Times New Roman" w:hAnsi="Times New Roman" w:cs="Times New Roman"/>
          <w:sz w:val="24"/>
          <w:szCs w:val="24"/>
        </w:rPr>
        <w:lastRenderedPageBreak/>
        <w:t>standardized PCA mean Euclidean distance. This metric represents the average spectral departure of pixels from the dominant spectral characteristics of the quadrat (Figure).</w:t>
      </w:r>
    </w:p>
    <w:p w14:paraId="09C277B1" w14:textId="79EBF852" w:rsidR="007369A1" w:rsidRPr="005F1CA4" w:rsidRDefault="007369A1" w:rsidP="005F1CA4">
      <w:pPr>
        <w:spacing w:before="100" w:beforeAutospacing="1" w:after="100" w:afterAutospacing="1" w:line="240" w:lineRule="auto"/>
        <w:rPr>
          <w:rFonts w:ascii="Times New Roman" w:eastAsia="Times New Roman" w:hAnsi="Times New Roman" w:cs="Times New Roman"/>
          <w:sz w:val="24"/>
          <w:szCs w:val="24"/>
        </w:rPr>
      </w:pPr>
      <w:r w:rsidRPr="007369A1">
        <w:rPr>
          <w:rFonts w:ascii="Times New Roman" w:eastAsia="Times New Roman" w:hAnsi="Times New Roman" w:cs="Times New Roman"/>
          <w:sz w:val="24"/>
          <w:szCs w:val="24"/>
        </w:rPr>
        <w:t xml:space="preserve">To evaluate the sensitivity of the standardized PCA mean Euclidean distance and standardized spectral Rao’s Q to the number of retained pixels, a sampling analysis was conducted using the same sampled-pixel design for both metrics. </w:t>
      </w:r>
      <w:r w:rsidR="00C0573E" w:rsidRPr="00C0573E">
        <w:rPr>
          <w:rFonts w:ascii="Times New Roman" w:eastAsia="Times New Roman" w:hAnsi="Times New Roman" w:cs="Times New Roman"/>
          <w:sz w:val="24"/>
          <w:szCs w:val="24"/>
        </w:rPr>
        <w:t>The selected quadrats contained approximately 4,000</w:t>
      </w:r>
      <w:r w:rsidR="00C0573E">
        <w:rPr>
          <w:rFonts w:ascii="Times New Roman" w:eastAsia="Times New Roman" w:hAnsi="Times New Roman" w:cs="Times New Roman"/>
          <w:sz w:val="24"/>
          <w:szCs w:val="24"/>
        </w:rPr>
        <w:t>-</w:t>
      </w:r>
      <w:r w:rsidR="00C0573E" w:rsidRPr="00C0573E">
        <w:rPr>
          <w:rFonts w:ascii="Times New Roman" w:eastAsia="Times New Roman" w:hAnsi="Times New Roman" w:cs="Times New Roman"/>
          <w:sz w:val="24"/>
          <w:szCs w:val="24"/>
        </w:rPr>
        <w:t xml:space="preserve">9,400 </w:t>
      </w:r>
      <w:r w:rsidR="00C0573E">
        <w:rPr>
          <w:rFonts w:ascii="Times New Roman" w:eastAsia="Times New Roman" w:hAnsi="Times New Roman" w:cs="Times New Roman"/>
          <w:sz w:val="24"/>
          <w:szCs w:val="24"/>
        </w:rPr>
        <w:t>valid illuminated</w:t>
      </w:r>
      <w:r w:rsidR="00C0573E" w:rsidRPr="00C0573E">
        <w:rPr>
          <w:rFonts w:ascii="Times New Roman" w:eastAsia="Times New Roman" w:hAnsi="Times New Roman" w:cs="Times New Roman"/>
          <w:sz w:val="24"/>
          <w:szCs w:val="24"/>
        </w:rPr>
        <w:t xml:space="preserve"> pixels at 10 m, 23,000</w:t>
      </w:r>
      <w:r w:rsidR="00C0573E">
        <w:rPr>
          <w:rFonts w:ascii="Times New Roman" w:eastAsia="Times New Roman" w:hAnsi="Times New Roman" w:cs="Times New Roman"/>
          <w:sz w:val="24"/>
          <w:szCs w:val="24"/>
        </w:rPr>
        <w:t>-</w:t>
      </w:r>
      <w:r w:rsidR="00C0573E" w:rsidRPr="00C0573E">
        <w:rPr>
          <w:rFonts w:ascii="Times New Roman" w:eastAsia="Times New Roman" w:hAnsi="Times New Roman" w:cs="Times New Roman"/>
          <w:sz w:val="24"/>
          <w:szCs w:val="24"/>
        </w:rPr>
        <w:t>36,000 at 20 m, and 145,000</w:t>
      </w:r>
      <w:r w:rsidR="00C0573E">
        <w:rPr>
          <w:rFonts w:ascii="Times New Roman" w:eastAsia="Times New Roman" w:hAnsi="Times New Roman" w:cs="Times New Roman"/>
          <w:sz w:val="24"/>
          <w:szCs w:val="24"/>
        </w:rPr>
        <w:t>-</w:t>
      </w:r>
      <w:r w:rsidR="00C0573E" w:rsidRPr="00C0573E">
        <w:rPr>
          <w:rFonts w:ascii="Times New Roman" w:eastAsia="Times New Roman" w:hAnsi="Times New Roman" w:cs="Times New Roman"/>
          <w:sz w:val="24"/>
          <w:szCs w:val="24"/>
        </w:rPr>
        <w:t>207,000 at 50 m.</w:t>
      </w:r>
      <w:r w:rsidR="00C0573E">
        <w:rPr>
          <w:rFonts w:ascii="Times New Roman" w:eastAsia="Times New Roman" w:hAnsi="Times New Roman" w:cs="Times New Roman"/>
          <w:sz w:val="24"/>
          <w:szCs w:val="24"/>
        </w:rPr>
        <w:t xml:space="preserve"> </w:t>
      </w:r>
      <w:r w:rsidRPr="007369A1">
        <w:rPr>
          <w:rFonts w:ascii="Times New Roman" w:eastAsia="Times New Roman" w:hAnsi="Times New Roman" w:cs="Times New Roman"/>
          <w:sz w:val="24"/>
          <w:szCs w:val="24"/>
        </w:rPr>
        <w:t>For each selected quadrat, 50 bootstrap iterations were performe</w:t>
      </w:r>
      <w:bookmarkStart w:id="5" w:name="_GoBack"/>
      <w:bookmarkEnd w:id="5"/>
      <w:r w:rsidRPr="007369A1">
        <w:rPr>
          <w:rFonts w:ascii="Times New Roman" w:eastAsia="Times New Roman" w:hAnsi="Times New Roman" w:cs="Times New Roman"/>
          <w:sz w:val="24"/>
          <w:szCs w:val="24"/>
        </w:rPr>
        <w:t>d at multiple retained-pixel sample sizes. For 10 m and 20 m quadrats, sample sizes included 1%, 2%, 3%, 1,250, 2,000, 3,000, and 4,000 pixels. For 50 m quadrats, sample sizes included 1%, 2%, 3%, 1,250, 4,000, 6,000, and 8,000 pixels.</w:t>
      </w:r>
      <w:r w:rsidR="00C0573E" w:rsidRPr="00C0573E">
        <w:t xml:space="preserve"> </w:t>
      </w:r>
      <w:r w:rsidRPr="007369A1">
        <w:rPr>
          <w:rFonts w:ascii="Times New Roman" w:eastAsia="Times New Roman" w:hAnsi="Times New Roman" w:cs="Times New Roman"/>
          <w:sz w:val="24"/>
          <w:szCs w:val="24"/>
        </w:rPr>
        <w:t>For each bootstrap iteration, metrics were calculated from the standardized PCA scores using PC1</w:t>
      </w:r>
      <w:r w:rsidR="00C0573E">
        <w:rPr>
          <w:rFonts w:ascii="Times New Roman" w:eastAsia="Times New Roman" w:hAnsi="Times New Roman" w:cs="Times New Roman"/>
          <w:sz w:val="24"/>
          <w:szCs w:val="24"/>
        </w:rPr>
        <w:t>-</w:t>
      </w:r>
      <w:r w:rsidRPr="007369A1">
        <w:rPr>
          <w:rFonts w:ascii="Times New Roman" w:eastAsia="Times New Roman" w:hAnsi="Times New Roman" w:cs="Times New Roman"/>
          <w:sz w:val="24"/>
          <w:szCs w:val="24"/>
        </w:rPr>
        <w:t>3. Bootstrap variability and deviation from the largest sampled-pixel reference were used to evaluate the stability of each metric across sampling intensities. Mean Euclidean distance stabilized more rapidly than Rao’s Q, with relatively small changes observed at approximately 1,250</w:t>
      </w:r>
      <w:r w:rsidR="00C0573E">
        <w:rPr>
          <w:rFonts w:ascii="Times New Roman" w:eastAsia="Times New Roman" w:hAnsi="Times New Roman" w:cs="Times New Roman"/>
          <w:sz w:val="24"/>
          <w:szCs w:val="24"/>
        </w:rPr>
        <w:t>-</w:t>
      </w:r>
      <w:r w:rsidRPr="007369A1">
        <w:rPr>
          <w:rFonts w:ascii="Times New Roman" w:eastAsia="Times New Roman" w:hAnsi="Times New Roman" w:cs="Times New Roman"/>
          <w:sz w:val="24"/>
          <w:szCs w:val="24"/>
        </w:rPr>
        <w:t xml:space="preserve">2,000 pixels for 10 m and 20 m quadrats and from approximately 1% sampling to 4,000 pixels for 50 m quadrats. In contrast, Rao’s Q remained more sensitive to sample size, particularly at lower sampling intensities and larger quadrat scales, with bootstrap variability continuing to decline at higher pixel sample </w:t>
      </w:r>
      <w:r w:rsidR="00C0573E">
        <w:rPr>
          <w:rFonts w:ascii="Times New Roman" w:eastAsia="Times New Roman" w:hAnsi="Times New Roman" w:cs="Times New Roman"/>
          <w:sz w:val="24"/>
          <w:szCs w:val="24"/>
        </w:rPr>
        <w:t>percentages</w:t>
      </w:r>
      <w:r w:rsidRPr="007369A1">
        <w:rPr>
          <w:rFonts w:ascii="Times New Roman" w:eastAsia="Times New Roman" w:hAnsi="Times New Roman" w:cs="Times New Roman"/>
          <w:sz w:val="24"/>
          <w:szCs w:val="24"/>
        </w:rPr>
        <w:t>. Based on these results, 4,000 pixels provided a stable sampling level for standardized PCA-based spectral heterogeneity while maintaining computational feasibility across quadrat sizes.</w:t>
      </w:r>
    </w:p>
    <w:p w14:paraId="40B19C2E" w14:textId="3C90F350" w:rsidR="005F1CA4" w:rsidRPr="005F1CA4" w:rsidRDefault="005F1CA4" w:rsidP="005F1CA4">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Spectral Rao's Q was calculated using the same standardized PCA scores and quadrat centroid. For each pixel, the squared Euclidean distance from the quadrat centroid was calculated, and Rao's Q was calculated as twice the mean of these squared distances. With equal pixel weights, this centroid-based formulation is mathematically equivalent to the mean pairwise squared Euclidean distance among pixels. Therefore, Rao's Q represents pairwise Euclidean spectral diversity conceptually, while the computational approach used here obtains the same quantity through the centroid formulation without explicitly calculating every pairwise distance</w:t>
      </w:r>
      <w:r w:rsidR="00B026EE">
        <w:rPr>
          <w:rFonts w:ascii="Times New Roman" w:eastAsia="Times New Roman" w:hAnsi="Times New Roman" w:cs="Times New Roman"/>
          <w:sz w:val="24"/>
          <w:szCs w:val="24"/>
        </w:rPr>
        <w:t xml:space="preserve">, making these calculations computationally </w:t>
      </w:r>
      <w:commentRangeStart w:id="6"/>
      <w:r w:rsidR="00B026EE">
        <w:rPr>
          <w:rFonts w:ascii="Times New Roman" w:eastAsia="Times New Roman" w:hAnsi="Times New Roman" w:cs="Times New Roman"/>
          <w:sz w:val="24"/>
          <w:szCs w:val="24"/>
        </w:rPr>
        <w:t>reasonable</w:t>
      </w:r>
      <w:commentRangeEnd w:id="6"/>
      <w:r w:rsidR="00B026EE">
        <w:rPr>
          <w:rStyle w:val="CommentReference"/>
        </w:rPr>
        <w:commentReference w:id="6"/>
      </w:r>
      <w:r w:rsidR="00B026EE">
        <w:rPr>
          <w:rFonts w:ascii="Times New Roman" w:eastAsia="Times New Roman" w:hAnsi="Times New Roman" w:cs="Times New Roman"/>
          <w:sz w:val="24"/>
          <w:szCs w:val="24"/>
        </w:rPr>
        <w:t xml:space="preserve">. </w:t>
      </w:r>
    </w:p>
    <w:p w14:paraId="78C15591" w14:textId="77777777" w:rsidR="005F1CA4" w:rsidRPr="005F1CA4" w:rsidRDefault="005F1CA4" w:rsidP="005F1CA4">
      <w:pPr>
        <w:spacing w:before="100" w:beforeAutospacing="1" w:after="100" w:afterAutospacing="1" w:line="240" w:lineRule="auto"/>
        <w:outlineLvl w:val="2"/>
        <w:rPr>
          <w:rFonts w:ascii="Times New Roman" w:eastAsia="Times New Roman" w:hAnsi="Times New Roman" w:cs="Times New Roman"/>
          <w:b/>
          <w:bCs/>
          <w:sz w:val="27"/>
          <w:szCs w:val="27"/>
        </w:rPr>
      </w:pPr>
      <w:r w:rsidRPr="005F1CA4">
        <w:rPr>
          <w:rFonts w:ascii="Times New Roman" w:eastAsia="Times New Roman" w:hAnsi="Times New Roman" w:cs="Times New Roman"/>
          <w:b/>
          <w:bCs/>
          <w:sz w:val="27"/>
          <w:szCs w:val="27"/>
        </w:rPr>
        <w:t>2.6. Statistical Analysis</w:t>
      </w:r>
    </w:p>
    <w:p w14:paraId="2BFC991B" w14:textId="6E57FD78" w:rsidR="005F1CA4" w:rsidRPr="005F1CA4" w:rsidRDefault="005F1CA4" w:rsidP="005F1CA4">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Scale-specific biodiversity and spectral measurements were combined for statistical analysis at the 10, 20, and 50 m spatial grains (</w:t>
      </w:r>
      <w:r w:rsidR="00B026EE">
        <w:rPr>
          <w:rFonts w:ascii="Times New Roman" w:eastAsia="Times New Roman" w:hAnsi="Times New Roman" w:cs="Times New Roman"/>
          <w:sz w:val="24"/>
          <w:szCs w:val="24"/>
        </w:rPr>
        <w:t>Figure</w:t>
      </w:r>
      <w:r w:rsidRPr="005F1CA4">
        <w:rPr>
          <w:rFonts w:ascii="Times New Roman" w:eastAsia="Times New Roman" w:hAnsi="Times New Roman" w:cs="Times New Roman"/>
          <w:sz w:val="24"/>
          <w:szCs w:val="24"/>
        </w:rPr>
        <w:t xml:space="preserve">). Relationships between spectral heterogeneity and biodiversity were evaluated independently at each spatial scale using simple linear regression. Standardized PCA mean Euclidean distance and </w:t>
      </w:r>
      <w:r w:rsidR="00B026EE" w:rsidRPr="005F1CA4">
        <w:rPr>
          <w:rFonts w:ascii="Times New Roman" w:eastAsia="Times New Roman" w:hAnsi="Times New Roman" w:cs="Times New Roman"/>
          <w:sz w:val="24"/>
          <w:szCs w:val="24"/>
        </w:rPr>
        <w:t>Spectral Rao's Q</w:t>
      </w:r>
      <w:r w:rsidRPr="005F1CA4">
        <w:rPr>
          <w:rFonts w:ascii="Times New Roman" w:eastAsia="Times New Roman" w:hAnsi="Times New Roman" w:cs="Times New Roman"/>
          <w:sz w:val="24"/>
          <w:szCs w:val="24"/>
        </w:rPr>
        <w:t xml:space="preserve"> were each modeled separately against species and phylogenetic diversity measures (Table).</w:t>
      </w:r>
    </w:p>
    <w:p w14:paraId="42409824" w14:textId="3FBCD51B" w:rsidR="005F1CA4" w:rsidRPr="005F1CA4" w:rsidRDefault="005F1CA4" w:rsidP="005F1CA4">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Pearson's correlation coefficient (</w:t>
      </w:r>
      <w:r w:rsidRPr="005F1CA4">
        <w:rPr>
          <w:rFonts w:ascii="Times New Roman" w:eastAsia="Times New Roman" w:hAnsi="Times New Roman" w:cs="Times New Roman"/>
          <w:i/>
          <w:iCs/>
          <w:sz w:val="24"/>
          <w:szCs w:val="24"/>
        </w:rPr>
        <w:t>r</w:t>
      </w:r>
      <w:r w:rsidRPr="005F1CA4">
        <w:rPr>
          <w:rFonts w:ascii="Times New Roman" w:eastAsia="Times New Roman" w:hAnsi="Times New Roman" w:cs="Times New Roman"/>
          <w:sz w:val="24"/>
          <w:szCs w:val="24"/>
        </w:rPr>
        <w:t>), coefficient of determination (</w:t>
      </w:r>
      <w:r w:rsidRPr="005F1CA4">
        <w:rPr>
          <w:rFonts w:ascii="Times New Roman" w:eastAsia="Times New Roman" w:hAnsi="Times New Roman" w:cs="Times New Roman"/>
          <w:i/>
          <w:iCs/>
          <w:sz w:val="24"/>
          <w:szCs w:val="24"/>
        </w:rPr>
        <w:t>R</w:t>
      </w:r>
      <w:r w:rsidRPr="005F1CA4">
        <w:rPr>
          <w:rFonts w:ascii="Times New Roman" w:eastAsia="Times New Roman" w:hAnsi="Times New Roman" w:cs="Times New Roman"/>
          <w:sz w:val="24"/>
          <w:szCs w:val="24"/>
        </w:rPr>
        <w:t xml:space="preserve">²), F statistic, model </w:t>
      </w:r>
      <w:r w:rsidRPr="005F1CA4">
        <w:rPr>
          <w:rFonts w:ascii="Times New Roman" w:eastAsia="Times New Roman" w:hAnsi="Times New Roman" w:cs="Times New Roman"/>
          <w:i/>
          <w:iCs/>
          <w:sz w:val="24"/>
          <w:szCs w:val="24"/>
        </w:rPr>
        <w:t>p</w:t>
      </w:r>
      <w:r w:rsidRPr="005F1CA4">
        <w:rPr>
          <w:rFonts w:ascii="Times New Roman" w:eastAsia="Times New Roman" w:hAnsi="Times New Roman" w:cs="Times New Roman"/>
          <w:sz w:val="24"/>
          <w:szCs w:val="24"/>
        </w:rPr>
        <w:t xml:space="preserve">-value, regression slope, and intercept were calculated for each relationship. Spearman's rank correlation was also calculated to evaluate the consistency of relationships when considering monotonic rather than strictly linear associations. Because each model contained a single predictor, </w:t>
      </w:r>
      <w:r w:rsidRPr="005F1CA4">
        <w:rPr>
          <w:rFonts w:ascii="Times New Roman" w:eastAsia="Times New Roman" w:hAnsi="Times New Roman" w:cs="Times New Roman"/>
          <w:i/>
          <w:iCs/>
          <w:sz w:val="24"/>
          <w:szCs w:val="24"/>
        </w:rPr>
        <w:t>R</w:t>
      </w:r>
      <w:r w:rsidRPr="005F1CA4">
        <w:rPr>
          <w:rFonts w:ascii="Times New Roman" w:eastAsia="Times New Roman" w:hAnsi="Times New Roman" w:cs="Times New Roman"/>
          <w:sz w:val="24"/>
          <w:szCs w:val="24"/>
        </w:rPr>
        <w:t>² was equivalent to the squared Pearson correlation coefficient</w:t>
      </w:r>
      <w:r w:rsidR="00B026EE">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The primary analyses focused on abundance-weighted Faith's PD because this metric showed the strongest and most consistent relationships with spectral heterogeneity across the spatial scales examined.</w:t>
      </w:r>
    </w:p>
    <w:p w14:paraId="43198381" w14:textId="77777777" w:rsidR="005F1CA4" w:rsidRPr="005F1CA4" w:rsidRDefault="005F1CA4" w:rsidP="005F1CA4">
      <w:pPr>
        <w:spacing w:before="100" w:beforeAutospacing="1" w:after="100" w:afterAutospacing="1" w:line="240" w:lineRule="auto"/>
        <w:outlineLvl w:val="2"/>
        <w:rPr>
          <w:rFonts w:ascii="Times New Roman" w:eastAsia="Times New Roman" w:hAnsi="Times New Roman" w:cs="Times New Roman"/>
          <w:b/>
          <w:bCs/>
          <w:sz w:val="27"/>
          <w:szCs w:val="27"/>
        </w:rPr>
      </w:pPr>
      <w:r w:rsidRPr="005F1CA4">
        <w:rPr>
          <w:rFonts w:ascii="Times New Roman" w:eastAsia="Times New Roman" w:hAnsi="Times New Roman" w:cs="Times New Roman"/>
          <w:b/>
          <w:bCs/>
          <w:sz w:val="27"/>
          <w:szCs w:val="27"/>
        </w:rPr>
        <w:lastRenderedPageBreak/>
        <w:t>2.7. Reproducibility and Software</w:t>
      </w:r>
    </w:p>
    <w:p w14:paraId="44D6D151" w14:textId="7C26211F" w:rsidR="005F1CA4" w:rsidRPr="005F1CA4" w:rsidRDefault="005F1CA4" w:rsidP="005F1CA4">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 xml:space="preserve">All data processing, spectral analyses, biodiversity calculations, and statistical analyses were conducted in R version 4.2.3. The primary analyses used the R packages </w:t>
      </w:r>
      <w:r w:rsidRPr="005F1CA4">
        <w:rPr>
          <w:rFonts w:ascii="Times New Roman" w:eastAsia="Times New Roman" w:hAnsi="Times New Roman" w:cs="Times New Roman"/>
          <w:i/>
          <w:iCs/>
          <w:sz w:val="24"/>
          <w:szCs w:val="24"/>
        </w:rPr>
        <w:t>sf</w:t>
      </w:r>
      <w:r w:rsidRPr="005F1CA4">
        <w:rPr>
          <w:rFonts w:ascii="Times New Roman" w:eastAsia="Times New Roman" w:hAnsi="Times New Roman" w:cs="Times New Roman"/>
          <w:sz w:val="24"/>
          <w:szCs w:val="24"/>
        </w:rPr>
        <w:t xml:space="preserve">, </w:t>
      </w:r>
      <w:r w:rsidRPr="005F1CA4">
        <w:rPr>
          <w:rFonts w:ascii="Times New Roman" w:eastAsia="Times New Roman" w:hAnsi="Times New Roman" w:cs="Times New Roman"/>
          <w:i/>
          <w:iCs/>
          <w:sz w:val="24"/>
          <w:szCs w:val="24"/>
        </w:rPr>
        <w:t>terra</w:t>
      </w:r>
      <w:r w:rsidRPr="005F1CA4">
        <w:rPr>
          <w:rFonts w:ascii="Times New Roman" w:eastAsia="Times New Roman" w:hAnsi="Times New Roman" w:cs="Times New Roman"/>
          <w:sz w:val="24"/>
          <w:szCs w:val="24"/>
        </w:rPr>
        <w:t xml:space="preserve">, </w:t>
      </w:r>
      <w:proofErr w:type="spellStart"/>
      <w:r w:rsidRPr="005F1CA4">
        <w:rPr>
          <w:rFonts w:ascii="Times New Roman" w:eastAsia="Times New Roman" w:hAnsi="Times New Roman" w:cs="Times New Roman"/>
          <w:i/>
          <w:iCs/>
          <w:sz w:val="24"/>
          <w:szCs w:val="24"/>
        </w:rPr>
        <w:t>dplyr</w:t>
      </w:r>
      <w:proofErr w:type="spellEnd"/>
      <w:r w:rsidRPr="005F1CA4">
        <w:rPr>
          <w:rFonts w:ascii="Times New Roman" w:eastAsia="Times New Roman" w:hAnsi="Times New Roman" w:cs="Times New Roman"/>
          <w:sz w:val="24"/>
          <w:szCs w:val="24"/>
        </w:rPr>
        <w:t xml:space="preserve">, </w:t>
      </w:r>
      <w:proofErr w:type="spellStart"/>
      <w:r w:rsidRPr="005F1CA4">
        <w:rPr>
          <w:rFonts w:ascii="Times New Roman" w:eastAsia="Times New Roman" w:hAnsi="Times New Roman" w:cs="Times New Roman"/>
          <w:i/>
          <w:iCs/>
          <w:sz w:val="24"/>
          <w:szCs w:val="24"/>
        </w:rPr>
        <w:t>tidyr</w:t>
      </w:r>
      <w:proofErr w:type="spellEnd"/>
      <w:r w:rsidRPr="005F1CA4">
        <w:rPr>
          <w:rFonts w:ascii="Times New Roman" w:eastAsia="Times New Roman" w:hAnsi="Times New Roman" w:cs="Times New Roman"/>
          <w:sz w:val="24"/>
          <w:szCs w:val="24"/>
        </w:rPr>
        <w:t xml:space="preserve">, </w:t>
      </w:r>
      <w:proofErr w:type="spellStart"/>
      <w:r w:rsidRPr="005F1CA4">
        <w:rPr>
          <w:rFonts w:ascii="Times New Roman" w:eastAsia="Times New Roman" w:hAnsi="Times New Roman" w:cs="Times New Roman"/>
          <w:i/>
          <w:iCs/>
          <w:sz w:val="24"/>
          <w:szCs w:val="24"/>
        </w:rPr>
        <w:t>readr</w:t>
      </w:r>
      <w:proofErr w:type="spellEnd"/>
      <w:r w:rsidRPr="005F1CA4">
        <w:rPr>
          <w:rFonts w:ascii="Times New Roman" w:eastAsia="Times New Roman" w:hAnsi="Times New Roman" w:cs="Times New Roman"/>
          <w:sz w:val="24"/>
          <w:szCs w:val="24"/>
        </w:rPr>
        <w:t xml:space="preserve">, </w:t>
      </w:r>
      <w:r w:rsidRPr="005F1CA4">
        <w:rPr>
          <w:rFonts w:ascii="Times New Roman" w:eastAsia="Times New Roman" w:hAnsi="Times New Roman" w:cs="Times New Roman"/>
          <w:i/>
          <w:iCs/>
          <w:sz w:val="24"/>
          <w:szCs w:val="24"/>
        </w:rPr>
        <w:t>ape</w:t>
      </w:r>
      <w:r w:rsidRPr="005F1CA4">
        <w:rPr>
          <w:rFonts w:ascii="Times New Roman" w:eastAsia="Times New Roman" w:hAnsi="Times New Roman" w:cs="Times New Roman"/>
          <w:sz w:val="24"/>
          <w:szCs w:val="24"/>
        </w:rPr>
        <w:t xml:space="preserve">, </w:t>
      </w:r>
      <w:r w:rsidRPr="005F1CA4">
        <w:rPr>
          <w:rFonts w:ascii="Times New Roman" w:eastAsia="Times New Roman" w:hAnsi="Times New Roman" w:cs="Times New Roman"/>
          <w:i/>
          <w:iCs/>
          <w:sz w:val="24"/>
          <w:szCs w:val="24"/>
        </w:rPr>
        <w:t>picante</w:t>
      </w:r>
      <w:r w:rsidRPr="005F1CA4">
        <w:rPr>
          <w:rFonts w:ascii="Times New Roman" w:eastAsia="Times New Roman" w:hAnsi="Times New Roman" w:cs="Times New Roman"/>
          <w:sz w:val="24"/>
          <w:szCs w:val="24"/>
        </w:rPr>
        <w:t xml:space="preserve">, </w:t>
      </w:r>
      <w:proofErr w:type="gramStart"/>
      <w:r w:rsidRPr="005F1CA4">
        <w:rPr>
          <w:rFonts w:ascii="Times New Roman" w:eastAsia="Times New Roman" w:hAnsi="Times New Roman" w:cs="Times New Roman"/>
          <w:i/>
          <w:iCs/>
          <w:sz w:val="24"/>
          <w:szCs w:val="24"/>
        </w:rPr>
        <w:t>V.PhyloMaker</w:t>
      </w:r>
      <w:proofErr w:type="gramEnd"/>
      <w:r w:rsidRPr="005F1CA4">
        <w:rPr>
          <w:rFonts w:ascii="Times New Roman" w:eastAsia="Times New Roman" w:hAnsi="Times New Roman" w:cs="Times New Roman"/>
          <w:i/>
          <w:iCs/>
          <w:sz w:val="24"/>
          <w:szCs w:val="24"/>
        </w:rPr>
        <w:t>2</w:t>
      </w:r>
      <w:r w:rsidRPr="005F1CA4">
        <w:rPr>
          <w:rFonts w:ascii="Times New Roman" w:eastAsia="Times New Roman" w:hAnsi="Times New Roman" w:cs="Times New Roman"/>
          <w:sz w:val="24"/>
          <w:szCs w:val="24"/>
        </w:rPr>
        <w:t xml:space="preserve">, </w:t>
      </w:r>
      <w:proofErr w:type="spellStart"/>
      <w:r w:rsidRPr="005F1CA4">
        <w:rPr>
          <w:rFonts w:ascii="Times New Roman" w:eastAsia="Times New Roman" w:hAnsi="Times New Roman" w:cs="Times New Roman"/>
          <w:i/>
          <w:iCs/>
          <w:sz w:val="24"/>
          <w:szCs w:val="24"/>
        </w:rPr>
        <w:t>alphahull</w:t>
      </w:r>
      <w:proofErr w:type="spellEnd"/>
      <w:r w:rsidRPr="005F1CA4">
        <w:rPr>
          <w:rFonts w:ascii="Times New Roman" w:eastAsia="Times New Roman" w:hAnsi="Times New Roman" w:cs="Times New Roman"/>
          <w:sz w:val="24"/>
          <w:szCs w:val="24"/>
        </w:rPr>
        <w:t xml:space="preserve">, and </w:t>
      </w:r>
      <w:r w:rsidRPr="005F1CA4">
        <w:rPr>
          <w:rFonts w:ascii="Times New Roman" w:eastAsia="Times New Roman" w:hAnsi="Times New Roman" w:cs="Times New Roman"/>
          <w:i/>
          <w:iCs/>
          <w:sz w:val="24"/>
          <w:szCs w:val="24"/>
        </w:rPr>
        <w:t>geometry</w:t>
      </w:r>
      <w:r w:rsidRPr="005F1CA4">
        <w:rPr>
          <w:rFonts w:ascii="Times New Roman" w:eastAsia="Times New Roman" w:hAnsi="Times New Roman" w:cs="Times New Roman"/>
          <w:sz w:val="24"/>
          <w:szCs w:val="24"/>
        </w:rPr>
        <w:t>. Intermediate and final data products were generated throughout the workflow to maintain sampling, processing, and analytical provenance</w:t>
      </w:r>
      <w:r w:rsidR="00B026EE">
        <w:rPr>
          <w:rFonts w:ascii="Times New Roman" w:eastAsia="Times New Roman" w:hAnsi="Times New Roman" w:cs="Times New Roman"/>
          <w:sz w:val="24"/>
          <w:szCs w:val="24"/>
        </w:rPr>
        <w:t>.</w:t>
      </w:r>
    </w:p>
    <w:bookmarkEnd w:id="0"/>
    <w:p w14:paraId="44129B2F" w14:textId="77777777" w:rsidR="00D7385D" w:rsidRPr="005F1CA4" w:rsidRDefault="00D7385D" w:rsidP="005F1CA4"/>
    <w:sectPr w:rsidR="00D7385D" w:rsidRPr="005F1CA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PaintRock" w:date="2026-08-12T13:50:00Z" w:initials="P">
    <w:p w14:paraId="362BE8EB" w14:textId="632BDB3B" w:rsidR="00B026EE" w:rsidRDefault="00B026EE">
      <w:pPr>
        <w:pStyle w:val="CommentText"/>
      </w:pPr>
      <w:r>
        <w:rPr>
          <w:rStyle w:val="CommentReference"/>
        </w:rPr>
        <w:annotationRef/>
      </w:r>
      <w:r>
        <w:t>Expound in crown calculations</w:t>
      </w:r>
    </w:p>
  </w:comment>
  <w:comment w:id="2" w:author="PaintRock" w:date="2026-08-12T13:59:00Z" w:initials="P">
    <w:p w14:paraId="56AD0CE9" w14:textId="58086A55" w:rsidR="00B026EE" w:rsidRDefault="00B026EE">
      <w:pPr>
        <w:pStyle w:val="CommentText"/>
      </w:pPr>
      <w:r>
        <w:rPr>
          <w:rStyle w:val="CommentReference"/>
        </w:rPr>
        <w:annotationRef/>
      </w:r>
      <w:r>
        <w:t xml:space="preserve">Included all measures but will narrow down to only what is used in the final </w:t>
      </w:r>
      <w:proofErr w:type="spellStart"/>
      <w:r>
        <w:t>analsis</w:t>
      </w:r>
      <w:proofErr w:type="spellEnd"/>
    </w:p>
  </w:comment>
  <w:comment w:id="3" w:author="PaintRock" w:date="2026-08-12T14:00:00Z" w:initials="P">
    <w:p w14:paraId="223FB1A4" w14:textId="30F97A6D" w:rsidR="00B026EE" w:rsidRDefault="00B026EE">
      <w:pPr>
        <w:pStyle w:val="CommentText"/>
      </w:pPr>
      <w:r>
        <w:rPr>
          <w:rStyle w:val="CommentReference"/>
        </w:rPr>
        <w:annotationRef/>
      </w:r>
      <w:r>
        <w:t>Maybe take out</w:t>
      </w:r>
    </w:p>
  </w:comment>
  <w:comment w:id="4" w:author="PaintRock" w:date="2026-08-12T14:08:00Z" w:initials="P">
    <w:p w14:paraId="562DB773" w14:textId="060D6704" w:rsidR="00B026EE" w:rsidRDefault="00B026EE">
      <w:pPr>
        <w:pStyle w:val="CommentText"/>
      </w:pPr>
      <w:r>
        <w:rPr>
          <w:rStyle w:val="CommentReference"/>
        </w:rPr>
        <w:annotationRef/>
      </w:r>
      <w:r>
        <w:t>Same here. Will narrow down once we confirm which metrics are used in final analysis.</w:t>
      </w:r>
    </w:p>
  </w:comment>
  <w:comment w:id="6" w:author="PaintRock" w:date="2026-08-12T14:16:00Z" w:initials="P">
    <w:p w14:paraId="1262146B" w14:textId="287E0DE1" w:rsidR="00B026EE" w:rsidRDefault="00B026EE">
      <w:pPr>
        <w:pStyle w:val="CommentText"/>
      </w:pPr>
      <w:r>
        <w:rPr>
          <w:rStyle w:val="CommentReference"/>
        </w:rPr>
        <w:annotationRef/>
      </w:r>
      <w:r>
        <w:t>Or feasible. Not sure of the wording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62BE8EB" w15:done="0"/>
  <w15:commentEx w15:paraId="56AD0CE9" w15:done="0"/>
  <w15:commentEx w15:paraId="223FB1A4" w15:done="0"/>
  <w15:commentEx w15:paraId="562DB773" w15:done="0"/>
  <w15:commentEx w15:paraId="1262146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62BE8EB" w16cid:durableId="2E26F890"/>
  <w16cid:commentId w16cid:paraId="56AD0CE9" w16cid:durableId="2E26FAAE"/>
  <w16cid:commentId w16cid:paraId="223FB1A4" w16cid:durableId="2E26FB09"/>
  <w16cid:commentId w16cid:paraId="562DB773" w16cid:durableId="2E26FCDD"/>
  <w16cid:commentId w16cid:paraId="1262146B" w16cid:durableId="2E26FEA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aintRock">
    <w15:presenceInfo w15:providerId="Windows Live" w15:userId="6e4bbb5638bc27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85D"/>
    <w:rsid w:val="00062835"/>
    <w:rsid w:val="005F1CA4"/>
    <w:rsid w:val="007369A1"/>
    <w:rsid w:val="00894C5A"/>
    <w:rsid w:val="00AA6B14"/>
    <w:rsid w:val="00B026EE"/>
    <w:rsid w:val="00C0573E"/>
    <w:rsid w:val="00D7385D"/>
    <w:rsid w:val="00FC18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1D4031D"/>
  <w15:chartTrackingRefBased/>
  <w15:docId w15:val="{23555C94-3340-4CA2-96B6-056A085B6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B026EE"/>
    <w:rPr>
      <w:sz w:val="16"/>
      <w:szCs w:val="16"/>
    </w:rPr>
  </w:style>
  <w:style w:type="paragraph" w:styleId="CommentText">
    <w:name w:val="annotation text"/>
    <w:basedOn w:val="Normal"/>
    <w:link w:val="CommentTextChar"/>
    <w:uiPriority w:val="99"/>
    <w:semiHidden/>
    <w:unhideWhenUsed/>
    <w:rsid w:val="00B026EE"/>
    <w:pPr>
      <w:spacing w:line="240" w:lineRule="auto"/>
    </w:pPr>
    <w:rPr>
      <w:sz w:val="20"/>
      <w:szCs w:val="20"/>
    </w:rPr>
  </w:style>
  <w:style w:type="character" w:customStyle="1" w:styleId="CommentTextChar">
    <w:name w:val="Comment Text Char"/>
    <w:basedOn w:val="DefaultParagraphFont"/>
    <w:link w:val="CommentText"/>
    <w:uiPriority w:val="99"/>
    <w:semiHidden/>
    <w:rsid w:val="00B026EE"/>
    <w:rPr>
      <w:sz w:val="20"/>
      <w:szCs w:val="20"/>
    </w:rPr>
  </w:style>
  <w:style w:type="paragraph" w:styleId="CommentSubject">
    <w:name w:val="annotation subject"/>
    <w:basedOn w:val="CommentText"/>
    <w:next w:val="CommentText"/>
    <w:link w:val="CommentSubjectChar"/>
    <w:uiPriority w:val="99"/>
    <w:semiHidden/>
    <w:unhideWhenUsed/>
    <w:rsid w:val="00B026EE"/>
    <w:rPr>
      <w:b/>
      <w:bCs/>
    </w:rPr>
  </w:style>
  <w:style w:type="character" w:customStyle="1" w:styleId="CommentSubjectChar">
    <w:name w:val="Comment Subject Char"/>
    <w:basedOn w:val="CommentTextChar"/>
    <w:link w:val="CommentSubject"/>
    <w:uiPriority w:val="99"/>
    <w:semiHidden/>
    <w:rsid w:val="00B026EE"/>
    <w:rPr>
      <w:b/>
      <w:bCs/>
      <w:sz w:val="20"/>
      <w:szCs w:val="20"/>
    </w:rPr>
  </w:style>
  <w:style w:type="paragraph" w:styleId="BalloonText">
    <w:name w:val="Balloon Text"/>
    <w:basedOn w:val="Normal"/>
    <w:link w:val="BalloonTextChar"/>
    <w:uiPriority w:val="99"/>
    <w:semiHidden/>
    <w:unhideWhenUsed/>
    <w:rsid w:val="00B026E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026E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5934866">
      <w:bodyDiv w:val="1"/>
      <w:marLeft w:val="0"/>
      <w:marRight w:val="0"/>
      <w:marTop w:val="0"/>
      <w:marBottom w:val="0"/>
      <w:divBdr>
        <w:top w:val="none" w:sz="0" w:space="0" w:color="auto"/>
        <w:left w:val="none" w:sz="0" w:space="0" w:color="auto"/>
        <w:bottom w:val="none" w:sz="0" w:space="0" w:color="auto"/>
        <w:right w:val="none" w:sz="0" w:space="0" w:color="auto"/>
      </w:divBdr>
    </w:div>
    <w:div w:id="127404556">
      <w:bodyDiv w:val="1"/>
      <w:marLeft w:val="0"/>
      <w:marRight w:val="0"/>
      <w:marTop w:val="0"/>
      <w:marBottom w:val="0"/>
      <w:divBdr>
        <w:top w:val="none" w:sz="0" w:space="0" w:color="auto"/>
        <w:left w:val="none" w:sz="0" w:space="0" w:color="auto"/>
        <w:bottom w:val="none" w:sz="0" w:space="0" w:color="auto"/>
        <w:right w:val="none" w:sz="0" w:space="0" w:color="auto"/>
      </w:divBdr>
    </w:div>
    <w:div w:id="254167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customXml" Target="../customXml/item3.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people" Target="people.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3A36D63796CDA448658D4C6E26819E3" ma:contentTypeVersion="9" ma:contentTypeDescription="Create a new document." ma:contentTypeScope="" ma:versionID="7c8e3c01635694b36f85d34bd6c985c5">
  <xsd:schema xmlns:xsd="http://www.w3.org/2001/XMLSchema" xmlns:xs="http://www.w3.org/2001/XMLSchema" xmlns:p="http://schemas.microsoft.com/office/2006/metadata/properties" xmlns:ns3="381ae226-ed8d-42b5-89e8-bafe2870bc59" targetNamespace="http://schemas.microsoft.com/office/2006/metadata/properties" ma:root="true" ma:fieldsID="41788c14b9ee61fc4e56cff004302830" ns3:_="">
    <xsd:import namespace="381ae226-ed8d-42b5-89e8-bafe2870bc59"/>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1ae226-ed8d-42b5-89e8-bafe2870bc5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381ae226-ed8d-42b5-89e8-bafe2870bc59" xsi:nil="true"/>
  </documentManagement>
</p:properties>
</file>

<file path=customXml/itemProps1.xml><?xml version="1.0" encoding="utf-8"?>
<ds:datastoreItem xmlns:ds="http://schemas.openxmlformats.org/officeDocument/2006/customXml" ds:itemID="{C048193B-2E16-46EE-92D5-BA00E67DDF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1ae226-ed8d-42b5-89e8-bafe2870bc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F457C1D-BD3B-4F0C-9160-FCDACD02745B}">
  <ds:schemaRefs>
    <ds:schemaRef ds:uri="http://schemas.microsoft.com/sharepoint/v3/contenttype/forms"/>
  </ds:schemaRefs>
</ds:datastoreItem>
</file>

<file path=customXml/itemProps3.xml><?xml version="1.0" encoding="utf-8"?>
<ds:datastoreItem xmlns:ds="http://schemas.openxmlformats.org/officeDocument/2006/customXml" ds:itemID="{F20CCF6A-9B22-43F6-97F4-56140467A370}">
  <ds:schemaRefs>
    <ds:schemaRef ds:uri="http://purl.org/dc/terms/"/>
    <ds:schemaRef ds:uri="http://schemas.microsoft.com/office/infopath/2007/PartnerControls"/>
    <ds:schemaRef ds:uri="http://purl.org/dc/elements/1.1/"/>
    <ds:schemaRef ds:uri="http://schemas.microsoft.com/office/2006/metadata/properties"/>
    <ds:schemaRef ds:uri="http://schemas.microsoft.com/office/2006/documentManagement/types"/>
    <ds:schemaRef ds:uri="http://purl.org/dc/dcmitype/"/>
    <ds:schemaRef ds:uri="http://schemas.openxmlformats.org/package/2006/metadata/core-properties"/>
    <ds:schemaRef ds:uri="381ae226-ed8d-42b5-89e8-bafe2870bc59"/>
    <ds:schemaRef ds:uri="http://www.w3.org/XML/1998/namespace"/>
  </ds:schemaRefs>
</ds:datastoreItem>
</file>

<file path=docProps/app.xml><?xml version="1.0" encoding="utf-8"?>
<Properties xmlns="http://schemas.openxmlformats.org/officeDocument/2006/extended-properties" xmlns:vt="http://schemas.openxmlformats.org/officeDocument/2006/docPropsVTypes">
  <Template>Normal</Template>
  <TotalTime>1535</TotalTime>
  <Pages>5</Pages>
  <Words>2041</Words>
  <Characters>11635</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PaintRock</dc:creator>
  <cp:keywords/>
  <dc:description/>
  <cp:lastModifiedBy>PaintRock</cp:lastModifiedBy>
  <cp:revision>3</cp:revision>
  <dcterms:created xsi:type="dcterms:W3CDTF">2026-08-11T15:03:00Z</dcterms:created>
  <dcterms:modified xsi:type="dcterms:W3CDTF">2026-08-12T23:17:00Z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0x01010083A36D63796CDA448658D4C6E26819E3</vt:lpwstr>
  </property>
</Properties>
</file>