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55"/>
        <w:gridCol w:w="5685"/>
        <w:tblGridChange w:id="0">
          <w:tblGrid>
            <w:gridCol w:w="3855"/>
            <w:gridCol w:w="56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UC01 Beregn omsætning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HoeKulator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Brugermål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HØK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Interest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HØK. De vil gerne bruge den til opgaver og eksaminer for hurtigt, at få omsætningen.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Hvis HØK vil beregne en ny omsætning baseret på en forrig omsætning, så skal den forrige omsætning eksistere.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Programmet præsenterer resultatet, så HØK kan se.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HØK vil have udregnet en omsætning.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HoeKulator accepterer anmodningen.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HØK angiver en procent-stigning til HoeKulator.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HoeKulator ganger primo år omsætningen med den angivne procent-stigning.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HoeKulator præsenterer resultatet.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HØK accepterer resultatet.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3a. HØK angiver bruttofortjeneste og vareforbrug til HoeKulator.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HoeKulator adderer bruttofortjeneste til vareforbrug.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HoeKulator præsenterer resultatet.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HØK accepterer resultatet.</w:t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3b. HØK angiver afsætning og salgspris til HoeKulator.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HoeKulator adderer afsætning til salgspris.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HoeKulator præsenterer resultatet.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HØK accepterer resultatet.</w:t>
            </w:r>
          </w:p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4a. HØK har ikke angivet nok data til HoeKulator.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HoeKulator beder HØK om at angive mere data.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Fortsæt</w:t>
            </w:r>
            <w:r w:rsidDel="00000000" w:rsidR="00000000" w:rsidRPr="00000000">
              <w:rPr>
                <w:rtl w:val="0"/>
              </w:rPr>
              <w:t xml:space="preserve"> fra trin 3.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 and Data Variations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 of Occurrence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