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Planlægning af 2 møde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Opgaver.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Maks 3 personer til brugertest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UC02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DOM02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ATD02a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mockup02a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AD02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DD02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ATD02b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mockup02b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UC03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DOM03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ATD03a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mockup03a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AD03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DD03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ATD03b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mockup03b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UC04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DOM04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ATD04a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mockup04a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AD04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DD04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ATD04b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mockup04b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UC05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DOM05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ATD05a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mockup05a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AD05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DD05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ATD05b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mockups05b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UC06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DOM06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ATD06a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mockup06a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AD06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DD06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ATD06b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mockups06b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UC07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DOM07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ATD07a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mockup07a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AD07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DD07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ATD07b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mockups07b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UC09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DOM09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ATD09a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mockup09a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AD09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DD09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ATD09b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mockups09b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UC10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DOM10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ATD10a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mockup10a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AD10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DD10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ATD10b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mockups10b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