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829A3E" w14:textId="235D9219" w:rsidR="00EC1635" w:rsidRDefault="00EC63F8" w:rsidP="00EC1635">
      <w:pPr>
        <w:spacing w:line="480" w:lineRule="auto"/>
        <w:rPr>
          <w:rFonts w:cs="Times New Roman"/>
          <w:b/>
          <w:bCs/>
          <w:szCs w:val="24"/>
        </w:rPr>
      </w:pPr>
      <w:r w:rsidRPr="005442D6">
        <w:rPr>
          <w:rFonts w:cs="Times New Roman"/>
          <w:b/>
          <w:bCs/>
          <w:szCs w:val="24"/>
        </w:rPr>
        <w:t xml:space="preserve">Appendix </w:t>
      </w:r>
      <w:r w:rsidR="00BA04A9">
        <w:rPr>
          <w:rFonts w:cs="Times New Roman"/>
          <w:b/>
          <w:bCs/>
          <w:szCs w:val="24"/>
        </w:rPr>
        <w:t>1</w:t>
      </w:r>
      <w:r w:rsidRPr="005442D6">
        <w:rPr>
          <w:rFonts w:cs="Times New Roman"/>
          <w:b/>
          <w:bCs/>
          <w:szCs w:val="24"/>
        </w:rPr>
        <w:t>.</w:t>
      </w:r>
      <w:r w:rsidR="00AF2304">
        <w:rPr>
          <w:rFonts w:cs="Times New Roman"/>
          <w:b/>
          <w:bCs/>
          <w:szCs w:val="24"/>
        </w:rPr>
        <w:t xml:space="preserve"> Pilot evaluation of species distribution modeling frameworks.</w:t>
      </w:r>
    </w:p>
    <w:p w14:paraId="605F6042" w14:textId="102B6D44" w:rsidR="00733687" w:rsidRDefault="00733687" w:rsidP="00733687">
      <w:r>
        <w:t xml:space="preserve">We conducted a pilot evaluation </w:t>
      </w:r>
      <w:r w:rsidRPr="00E66813">
        <w:rPr>
          <w:szCs w:val="24"/>
        </w:rPr>
        <w:t xml:space="preserve">of several potential modeling techniques </w:t>
      </w:r>
      <w:r>
        <w:t xml:space="preserve">to determine which would be best suited for species distribution modeling using these datasets. We conducted this evaluation (and all subsequent modeling) separately for breeding and migratory seasons, using the full set of covariates available at all spatial scales as predictors. All breeding season pilot models used the same set of woodcock survey data as presence and absence locations, while all migratory season pilot models used the same set of woodcock GPS points as presence locations and </w:t>
      </w:r>
      <w:proofErr w:type="gramStart"/>
      <w:r>
        <w:t>randomly-generated</w:t>
      </w:r>
      <w:proofErr w:type="gramEnd"/>
      <w:r>
        <w:t xml:space="preserve"> points as pseudoabsence locations.</w:t>
      </w:r>
      <w:r w:rsidR="009B5AF2">
        <w:t xml:space="preserve"> Models were fit using the full suite of covariates specified in the main body of the manuscript.</w:t>
      </w:r>
    </w:p>
    <w:p w14:paraId="34A45AA5" w14:textId="75D776EB" w:rsidR="007D4E34" w:rsidRDefault="007D4E34" w:rsidP="007D4E34">
      <w:pPr>
        <w:ind w:firstLine="720"/>
      </w:pPr>
      <w:r>
        <w:t xml:space="preserve">We produced pilot models </w:t>
      </w:r>
      <w:r w:rsidRPr="00E66813">
        <w:rPr>
          <w:szCs w:val="24"/>
        </w:rPr>
        <w:t xml:space="preserve">using </w:t>
      </w:r>
      <w:proofErr w:type="spellStart"/>
      <w:r w:rsidRPr="00E66813">
        <w:rPr>
          <w:szCs w:val="24"/>
        </w:rPr>
        <w:t>Max</w:t>
      </w:r>
      <w:r w:rsidR="00F26962">
        <w:rPr>
          <w:szCs w:val="24"/>
        </w:rPr>
        <w:t>ne</w:t>
      </w:r>
      <w:r w:rsidRPr="00E66813">
        <w:rPr>
          <w:szCs w:val="24"/>
        </w:rPr>
        <w:t>t</w:t>
      </w:r>
      <w:proofErr w:type="spellEnd"/>
      <w:r w:rsidR="00C66300">
        <w:rPr>
          <w:szCs w:val="24"/>
        </w:rPr>
        <w:t xml:space="preserve"> </w:t>
      </w:r>
      <w:r w:rsidR="00C66300">
        <w:rPr>
          <w:szCs w:val="24"/>
        </w:rPr>
        <w:fldChar w:fldCharType="begin"/>
      </w:r>
      <w:r w:rsidR="00922E5C">
        <w:rPr>
          <w:szCs w:val="24"/>
        </w:rPr>
        <w:instrText xml:space="preserve"> ADDIN ZOTERO_ITEM CSL_CITATION {"citationID":"9RhfhOm5","properties":{"unsorted":false,"formattedCitation":"(Phillips 2021)","plainCitation":"(Phillips 2021)","noteIndex":0},"citationItems":[{"id":1832,"uris":["http://zotero.org/users/10854879/items/IPL9DGXG"],"itemData":{"id":1832,"type":"book","title":"maxnet: Fitting 'Maxent' Species Distribution Models with 'glmnet'","URL":"https://github.com/mrmaxent/maxnet","author":[{"family":"Phillips","given":"Steven"}],"issued":{"date-parts":[["2021"]]}}}],"schema":"https://github.com/citation-style-language/schema/raw/master/csl-citation.json"} </w:instrText>
      </w:r>
      <w:r w:rsidR="00C66300">
        <w:rPr>
          <w:szCs w:val="24"/>
        </w:rPr>
        <w:fldChar w:fldCharType="separate"/>
      </w:r>
      <w:r w:rsidR="00922E5C">
        <w:rPr>
          <w:noProof/>
          <w:szCs w:val="24"/>
        </w:rPr>
        <w:t>(Phillips 2021)</w:t>
      </w:r>
      <w:r w:rsidR="00C66300">
        <w:rPr>
          <w:szCs w:val="24"/>
        </w:rPr>
        <w:fldChar w:fldCharType="end"/>
      </w:r>
      <w:r w:rsidRPr="00E66813">
        <w:rPr>
          <w:szCs w:val="24"/>
        </w:rPr>
        <w:t>, random forest classification</w:t>
      </w:r>
      <w:r w:rsidR="00C66300">
        <w:rPr>
          <w:szCs w:val="24"/>
        </w:rPr>
        <w:t xml:space="preserve"> </w:t>
      </w:r>
      <w:r w:rsidR="00C66300">
        <w:rPr>
          <w:szCs w:val="24"/>
        </w:rPr>
        <w:fldChar w:fldCharType="begin"/>
      </w:r>
      <w:r w:rsidR="00C66300">
        <w:rPr>
          <w:szCs w:val="24"/>
        </w:rPr>
        <w:instrText xml:space="preserve"> ADDIN ZOTERO_ITEM CSL_CITATION {"citationID":"DanWQYI9","properties":{"unsorted":false,"formattedCitation":"(Breiman 2001)","plainCitation":"(Breiman 2001)","noteIndex":0},"citationItems":[{"id":398,"uris":["http://zotero.org/users/10854879/items/KA86NNPS"],"itemData":{"id":398,"type":"article-journal","container-title":"Machine learning","page":"5–32","publisher":"Springer","source":"Google Scholar","title":"Random forests","volume":"45","author":[{"family":"Breiman","given":"Leo"}],"issued":{"date-parts":[["2001"]]}}}],"schema":"https://github.com/citation-style-language/schema/raw/master/csl-citation.json"} </w:instrText>
      </w:r>
      <w:r w:rsidR="00C66300">
        <w:rPr>
          <w:szCs w:val="24"/>
        </w:rPr>
        <w:fldChar w:fldCharType="separate"/>
      </w:r>
      <w:r w:rsidR="00C66300">
        <w:rPr>
          <w:noProof/>
          <w:szCs w:val="24"/>
        </w:rPr>
        <w:t>(Breiman 2001)</w:t>
      </w:r>
      <w:r w:rsidR="00C66300">
        <w:rPr>
          <w:szCs w:val="24"/>
        </w:rPr>
        <w:fldChar w:fldCharType="end"/>
      </w:r>
      <w:r w:rsidRPr="00E66813">
        <w:rPr>
          <w:szCs w:val="24"/>
        </w:rPr>
        <w:t xml:space="preserve">, and boosted regression trees </w:t>
      </w:r>
      <w:r w:rsidR="00C66300">
        <w:rPr>
          <w:szCs w:val="24"/>
        </w:rPr>
        <w:fldChar w:fldCharType="begin"/>
      </w:r>
      <w:r w:rsidR="00C66300">
        <w:rPr>
          <w:szCs w:val="24"/>
        </w:rPr>
        <w:instrText xml:space="preserve"> ADDIN ZOTERO_ITEM CSL_CITATION {"citationID":"sxdUn8Ml","properties":{"unsorted":false,"formattedCitation":"(Elith et al. 2008)","plainCitation":"(Elith et al. 2008)","noteIndex":0},"citationItems":[{"id":183,"uris":["http://zotero.org/users/10854879/items/FG6Y2ALG"],"itemData":{"id":183,"type":"article-journal","container-title":"Journal of animal ecology","issue":"4","page":"802–813","publisher":"Wiley Online Library","source":"Google Scholar","title":"A working guide to boosted regression trees","volume":"77","author":[{"family":"Elith","given":"Jane"},{"family":"Leathwick","given":"John R."},{"family":"Hastie","given":"Trevor"}],"issued":{"date-parts":[["2008"]]}}}],"schema":"https://github.com/citation-style-language/schema/raw/master/csl-citation.json"} </w:instrText>
      </w:r>
      <w:r w:rsidR="00C66300">
        <w:rPr>
          <w:szCs w:val="24"/>
        </w:rPr>
        <w:fldChar w:fldCharType="separate"/>
      </w:r>
      <w:r w:rsidR="00C66300">
        <w:rPr>
          <w:noProof/>
          <w:szCs w:val="24"/>
        </w:rPr>
        <w:t>(Elith et al. 2008)</w:t>
      </w:r>
      <w:r w:rsidR="00C66300">
        <w:rPr>
          <w:szCs w:val="24"/>
        </w:rPr>
        <w:fldChar w:fldCharType="end"/>
      </w:r>
      <w:r>
        <w:t>,</w:t>
      </w:r>
      <w:r w:rsidRPr="00E66813">
        <w:rPr>
          <w:szCs w:val="24"/>
        </w:rPr>
        <w:t xml:space="preserve"> fit using the package </w:t>
      </w:r>
      <w:proofErr w:type="spellStart"/>
      <w:r w:rsidRPr="00CC49E2">
        <w:rPr>
          <w:i/>
          <w:iCs/>
          <w:szCs w:val="24"/>
        </w:rPr>
        <w:t>SDMtune</w:t>
      </w:r>
      <w:proofErr w:type="spellEnd"/>
      <w:r>
        <w:t xml:space="preserve"> </w:t>
      </w:r>
      <w:r w:rsidR="00C66300">
        <w:t>in</w:t>
      </w:r>
      <w:r>
        <w:t xml:space="preserve"> statistical software R</w:t>
      </w:r>
      <w:r w:rsidR="00C66300">
        <w:t xml:space="preserve">, version 4.5.2 </w:t>
      </w:r>
      <w:r w:rsidR="00C66300">
        <w:fldChar w:fldCharType="begin"/>
      </w:r>
      <w:r w:rsidR="00C66300">
        <w:instrText xml:space="preserve"> ADDIN ZOTERO_ITEM CSL_CITATION {"citationID":"67JeiASw","properties":{"unsorted":false,"formattedCitation":"(Vignali et al. 2020; R Core Team 2025)","plainCitation":"(Vignali et al. 2020; R Core Team 2025)","noteIndex":0},"citationItems":[{"id":374,"uris":["http://zotero.org/users/10854879/items/ZMUQ4NAM"],"itemData":{"id":374,"type":"article-journal","container-title":"Ecology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G."},{"family":"Arlettaz","given":"Raphaël"},{"family":"Braunisch","given":"Veronika"}],"issued":{"date-parts":[["2020"]]}}},{"id":1057,"uris":["http://zotero.org/users/10854879/items/U6GXTBX3"],"itemData":{"id":1057,"type":"book","publisher":"R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C66300">
        <w:fldChar w:fldCharType="separate"/>
      </w:r>
      <w:r w:rsidR="00C66300">
        <w:rPr>
          <w:noProof/>
        </w:rPr>
        <w:t>(Vignali et al. 2020; R Core Team 2025)</w:t>
      </w:r>
      <w:r w:rsidR="00C66300">
        <w:fldChar w:fldCharType="end"/>
      </w:r>
      <w:r>
        <w:t>. These models were fit using k-fold cross validation with 5 folds. For the breeding season model, we withheld 1/5</w:t>
      </w:r>
      <w:r w:rsidRPr="003A5C51">
        <w:rPr>
          <w:vertAlign w:val="superscript"/>
        </w:rPr>
        <w:t>th</w:t>
      </w:r>
      <w:r>
        <w:t xml:space="preserve"> of the presence and absence data from each of 5 training folds and used the withheld data as testing folds to evaluate the model. As the migratory season dataset is effectively presence-only, we create</w:t>
      </w:r>
      <w:r w:rsidR="00C66300">
        <w:t>d</w:t>
      </w:r>
      <w:r>
        <w:t xml:space="preserve"> random folds only for presence locations and uses the full set of pseudoabsence locations in each testing and training fold. The hyperparameters which we set for each these models are outlined in Table A1.</w:t>
      </w:r>
    </w:p>
    <w:p w14:paraId="02BFBA31" w14:textId="77777777" w:rsidR="001A3CC7" w:rsidRDefault="001A3CC7" w:rsidP="001A3CC7"/>
    <w:p w14:paraId="76B983AB" w14:textId="06333DE8" w:rsidR="001A3CC7" w:rsidRDefault="001A3CC7" w:rsidP="001A3CC7">
      <w:r>
        <w:t xml:space="preserve">Table A1. </w:t>
      </w:r>
      <w:r w:rsidR="003708A9">
        <w:t xml:space="preserve">Hyperparameters used in </w:t>
      </w:r>
      <w:bookmarkStart w:id="0" w:name="_Hlk233205463"/>
      <w:r w:rsidR="003708A9">
        <w:t>pilot evaluation of species distribution modeling frameworks</w:t>
      </w:r>
      <w:bookmarkEnd w:id="0"/>
      <w:r w:rsidR="003708A9">
        <w:t>.</w:t>
      </w:r>
      <w:r>
        <w:t xml:space="preserve"> </w:t>
      </w:r>
      <w:r w:rsidR="003708A9">
        <w:t xml:space="preserve">Hyperparameters are based on default values from the respective packages </w:t>
      </w:r>
      <w:r w:rsidR="003708A9">
        <w:fldChar w:fldCharType="begin"/>
      </w:r>
      <w:r w:rsidR="003708A9">
        <w:instrText xml:space="preserve"> ADDIN ZOTERO_ITEM CSL_CITATION {"citationID":"ozZMWh86","properties":{"unsorted":false,"formattedCitation":"(Liaw and Wiener 2002; Phillips 2021; Ridgeway and Developers 2026)","plainCitation":"(Liaw and Wiener 2002; Phillips 2021; Ridgeway and Developers 2026)","noteIndex":0},"citationItems":[{"id":373,"uris":["http://zotero.org/users/10854879/items/X8RNM69P"],"itemData":{"id":373,"type":"article-journal","container-title":"R News","issue":"3","page":"18-22","title":"Classification and Regression by randomForest","volume":"2","author":[{"family":"Liaw","given":"Andy"},{"family":"Wiener","given":"Matthew"}],"issued":{"date-parts":[["2002"]]}}},{"id":1832,"uris":["http://zotero.org/users/10854879/items/IPL9DGXG"],"itemData":{"id":1832,"type":"book","title":"maxnet: Fitting 'Maxent' Species Distribution Models with 'glmnet'","URL":"https://github.com/mrmaxent/maxnet","author":[{"family":"Phillips","given":"Steven"}],"issued":{"date-parts":[["2021"]]}}},{"id":1830,"uris":["http://zotero.org/users/10854879/items/7UPAJKIY"],"itemData":{"id":1830,"type":"book","DOI":"10.32614/CRAN.package.gbm","title":"gbm: Generalized Boosted Regression Models","URL":"https://CRAN.R-project.org/package=gbm","author":[{"family":"Ridgeway","given":"Greg"},{"family":"Developers","given":"G. B. M."}],"issued":{"date-parts":[["2026"]]}}}],"schema":"https://github.com/citation-style-language/schema/raw/master/csl-citation.json"} </w:instrText>
      </w:r>
      <w:r w:rsidR="003708A9">
        <w:fldChar w:fldCharType="separate"/>
      </w:r>
      <w:r w:rsidR="003708A9">
        <w:rPr>
          <w:noProof/>
        </w:rPr>
        <w:t>(Liaw and Wiener 2002; Phillips 2021; Ridgeway and Developers 2026)</w:t>
      </w:r>
      <w:r w:rsidR="003708A9">
        <w:fldChar w:fldCharType="end"/>
      </w:r>
      <w:r w:rsidR="003708A9">
        <w:t>.</w:t>
      </w:r>
    </w:p>
    <w:tbl>
      <w:tblPr>
        <w:tblStyle w:val="TableGrid"/>
        <w:tblW w:w="9350" w:type="dxa"/>
        <w:tblLook w:val="04A0" w:firstRow="1" w:lastRow="0" w:firstColumn="1" w:lastColumn="0" w:noHBand="0" w:noVBand="1"/>
      </w:tblPr>
      <w:tblGrid>
        <w:gridCol w:w="1846"/>
        <w:gridCol w:w="1356"/>
        <w:gridCol w:w="1816"/>
        <w:gridCol w:w="1214"/>
        <w:gridCol w:w="1816"/>
        <w:gridCol w:w="1302"/>
      </w:tblGrid>
      <w:tr w:rsidR="001A3CC7" w14:paraId="3524A41C" w14:textId="77777777" w:rsidTr="00A82B04">
        <w:tc>
          <w:tcPr>
            <w:tcW w:w="3202" w:type="dxa"/>
            <w:gridSpan w:val="2"/>
            <w:tcBorders>
              <w:left w:val="nil"/>
              <w:right w:val="nil"/>
            </w:tcBorders>
          </w:tcPr>
          <w:p w14:paraId="45FD2411" w14:textId="65FA04A3" w:rsidR="001A3CC7" w:rsidRPr="007B5F89" w:rsidRDefault="001A3CC7" w:rsidP="00A82B04">
            <w:pPr>
              <w:pStyle w:val="Table"/>
              <w:jc w:val="center"/>
              <w:rPr>
                <w:b/>
                <w:bCs w:val="0"/>
              </w:rPr>
            </w:pPr>
            <w:proofErr w:type="spellStart"/>
            <w:r w:rsidRPr="007B5F89">
              <w:rPr>
                <w:b/>
                <w:bCs w:val="0"/>
              </w:rPr>
              <w:t>Ma</w:t>
            </w:r>
            <w:r w:rsidR="00922E5C">
              <w:rPr>
                <w:b/>
                <w:bCs w:val="0"/>
              </w:rPr>
              <w:t>x</w:t>
            </w:r>
            <w:r w:rsidRPr="007B5F89">
              <w:rPr>
                <w:b/>
                <w:bCs w:val="0"/>
              </w:rPr>
              <w:t>n</w:t>
            </w:r>
            <w:r w:rsidR="00F26962">
              <w:rPr>
                <w:b/>
                <w:bCs w:val="0"/>
              </w:rPr>
              <w:t>e</w:t>
            </w:r>
            <w:r w:rsidRPr="007B5F89">
              <w:rPr>
                <w:b/>
                <w:bCs w:val="0"/>
              </w:rPr>
              <w:t>t</w:t>
            </w:r>
            <w:proofErr w:type="spellEnd"/>
          </w:p>
        </w:tc>
        <w:tc>
          <w:tcPr>
            <w:tcW w:w="3030" w:type="dxa"/>
            <w:gridSpan w:val="2"/>
            <w:tcBorders>
              <w:left w:val="nil"/>
              <w:right w:val="nil"/>
            </w:tcBorders>
          </w:tcPr>
          <w:p w14:paraId="1B5D7E10" w14:textId="77777777" w:rsidR="001A3CC7" w:rsidRPr="007B5F89" w:rsidRDefault="001A3CC7" w:rsidP="00A82B04">
            <w:pPr>
              <w:pStyle w:val="Table"/>
              <w:jc w:val="center"/>
              <w:rPr>
                <w:b/>
                <w:bCs w:val="0"/>
              </w:rPr>
            </w:pPr>
            <w:r w:rsidRPr="007B5F89">
              <w:rPr>
                <w:b/>
                <w:bCs w:val="0"/>
              </w:rPr>
              <w:t>Random forest</w:t>
            </w:r>
          </w:p>
        </w:tc>
        <w:tc>
          <w:tcPr>
            <w:tcW w:w="3118" w:type="dxa"/>
            <w:gridSpan w:val="2"/>
            <w:tcBorders>
              <w:left w:val="nil"/>
              <w:right w:val="nil"/>
            </w:tcBorders>
          </w:tcPr>
          <w:p w14:paraId="6CB9F624" w14:textId="77777777" w:rsidR="001A3CC7" w:rsidRPr="007B5F89" w:rsidRDefault="001A3CC7" w:rsidP="00A82B04">
            <w:pPr>
              <w:pStyle w:val="Table"/>
              <w:jc w:val="center"/>
              <w:rPr>
                <w:b/>
                <w:bCs w:val="0"/>
              </w:rPr>
            </w:pPr>
            <w:r w:rsidRPr="007B5F89">
              <w:rPr>
                <w:b/>
                <w:bCs w:val="0"/>
              </w:rPr>
              <w:t>Boosted regression trees</w:t>
            </w:r>
          </w:p>
        </w:tc>
      </w:tr>
      <w:tr w:rsidR="001A3CC7" w14:paraId="3BD32A75" w14:textId="77777777" w:rsidTr="00A82B04">
        <w:tc>
          <w:tcPr>
            <w:tcW w:w="1846" w:type="dxa"/>
            <w:tcBorders>
              <w:left w:val="nil"/>
              <w:bottom w:val="single" w:sz="4" w:space="0" w:color="auto"/>
              <w:right w:val="nil"/>
            </w:tcBorders>
          </w:tcPr>
          <w:p w14:paraId="59B8A8B4" w14:textId="77777777" w:rsidR="001A3CC7" w:rsidRPr="00755A41" w:rsidRDefault="001A3CC7" w:rsidP="00A82B04">
            <w:pPr>
              <w:pStyle w:val="Table"/>
              <w:rPr>
                <w:i/>
                <w:iCs/>
              </w:rPr>
            </w:pPr>
            <w:r>
              <w:rPr>
                <w:i/>
                <w:iCs/>
              </w:rPr>
              <w:t>Hyperparameter</w:t>
            </w:r>
          </w:p>
        </w:tc>
        <w:tc>
          <w:tcPr>
            <w:tcW w:w="1356" w:type="dxa"/>
            <w:tcBorders>
              <w:left w:val="nil"/>
              <w:bottom w:val="single" w:sz="4" w:space="0" w:color="auto"/>
              <w:right w:val="nil"/>
            </w:tcBorders>
          </w:tcPr>
          <w:p w14:paraId="1C2CD5C3" w14:textId="77777777" w:rsidR="001A3CC7" w:rsidRPr="000A09E3" w:rsidRDefault="001A3CC7" w:rsidP="00A82B04">
            <w:pPr>
              <w:pStyle w:val="Table"/>
              <w:rPr>
                <w:i/>
                <w:iCs/>
              </w:rPr>
            </w:pPr>
            <w:r w:rsidRPr="000A09E3">
              <w:rPr>
                <w:i/>
                <w:iCs/>
              </w:rPr>
              <w:t>Value</w:t>
            </w:r>
          </w:p>
        </w:tc>
        <w:tc>
          <w:tcPr>
            <w:tcW w:w="1816" w:type="dxa"/>
            <w:tcBorders>
              <w:left w:val="nil"/>
              <w:bottom w:val="single" w:sz="4" w:space="0" w:color="auto"/>
              <w:right w:val="nil"/>
            </w:tcBorders>
          </w:tcPr>
          <w:p w14:paraId="7F11618B" w14:textId="77777777" w:rsidR="001A3CC7" w:rsidRPr="0096309C" w:rsidRDefault="001A3CC7" w:rsidP="00A82B04">
            <w:pPr>
              <w:pStyle w:val="Table"/>
            </w:pPr>
            <w:r>
              <w:rPr>
                <w:i/>
                <w:iCs/>
              </w:rPr>
              <w:t>Hyperparameter</w:t>
            </w:r>
          </w:p>
        </w:tc>
        <w:tc>
          <w:tcPr>
            <w:tcW w:w="1214" w:type="dxa"/>
            <w:tcBorders>
              <w:left w:val="nil"/>
              <w:bottom w:val="single" w:sz="4" w:space="0" w:color="auto"/>
              <w:right w:val="nil"/>
            </w:tcBorders>
          </w:tcPr>
          <w:p w14:paraId="58D80B2E" w14:textId="77777777" w:rsidR="001A3CC7" w:rsidRPr="0096309C" w:rsidRDefault="001A3CC7" w:rsidP="00A82B04">
            <w:pPr>
              <w:pStyle w:val="Table"/>
            </w:pPr>
            <w:r w:rsidRPr="000A09E3">
              <w:rPr>
                <w:i/>
                <w:iCs/>
              </w:rPr>
              <w:t>Value</w:t>
            </w:r>
          </w:p>
        </w:tc>
        <w:tc>
          <w:tcPr>
            <w:tcW w:w="1816" w:type="dxa"/>
            <w:tcBorders>
              <w:left w:val="nil"/>
              <w:bottom w:val="single" w:sz="4" w:space="0" w:color="auto"/>
              <w:right w:val="nil"/>
            </w:tcBorders>
          </w:tcPr>
          <w:p w14:paraId="7331BCF3" w14:textId="77777777" w:rsidR="001A3CC7" w:rsidRPr="0096309C" w:rsidRDefault="001A3CC7" w:rsidP="00A82B04">
            <w:pPr>
              <w:pStyle w:val="Table"/>
            </w:pPr>
            <w:r>
              <w:rPr>
                <w:i/>
                <w:iCs/>
              </w:rPr>
              <w:t>Hyperparameter</w:t>
            </w:r>
          </w:p>
        </w:tc>
        <w:tc>
          <w:tcPr>
            <w:tcW w:w="1302" w:type="dxa"/>
            <w:tcBorders>
              <w:left w:val="nil"/>
              <w:bottom w:val="single" w:sz="4" w:space="0" w:color="auto"/>
              <w:right w:val="nil"/>
            </w:tcBorders>
          </w:tcPr>
          <w:p w14:paraId="562A9CEE" w14:textId="77777777" w:rsidR="001A3CC7" w:rsidRPr="0096309C" w:rsidRDefault="001A3CC7" w:rsidP="00A82B04">
            <w:pPr>
              <w:pStyle w:val="Table"/>
            </w:pPr>
            <w:r w:rsidRPr="000A09E3">
              <w:rPr>
                <w:i/>
                <w:iCs/>
              </w:rPr>
              <w:t>Value</w:t>
            </w:r>
          </w:p>
        </w:tc>
      </w:tr>
      <w:tr w:rsidR="001A3CC7" w14:paraId="0AE436B9" w14:textId="77777777" w:rsidTr="00A82B04">
        <w:tc>
          <w:tcPr>
            <w:tcW w:w="1846" w:type="dxa"/>
            <w:tcBorders>
              <w:left w:val="nil"/>
              <w:bottom w:val="nil"/>
              <w:right w:val="nil"/>
            </w:tcBorders>
          </w:tcPr>
          <w:p w14:paraId="2F1095BC" w14:textId="5CBED5C7" w:rsidR="001A3CC7" w:rsidRDefault="00F26962" w:rsidP="00A82B04">
            <w:pPr>
              <w:pStyle w:val="Table"/>
            </w:pPr>
            <w:r>
              <w:t>Regularization multiplier</w:t>
            </w:r>
          </w:p>
        </w:tc>
        <w:tc>
          <w:tcPr>
            <w:tcW w:w="1356" w:type="dxa"/>
            <w:tcBorders>
              <w:left w:val="nil"/>
              <w:bottom w:val="nil"/>
              <w:right w:val="nil"/>
            </w:tcBorders>
          </w:tcPr>
          <w:p w14:paraId="2A4D0EDC" w14:textId="711F0CC7" w:rsidR="001A3CC7" w:rsidRDefault="00F26962" w:rsidP="00A82B04">
            <w:pPr>
              <w:pStyle w:val="Table"/>
            </w:pPr>
            <w:r>
              <w:t>1</w:t>
            </w:r>
          </w:p>
        </w:tc>
        <w:tc>
          <w:tcPr>
            <w:tcW w:w="1816" w:type="dxa"/>
            <w:tcBorders>
              <w:left w:val="nil"/>
              <w:bottom w:val="nil"/>
              <w:right w:val="nil"/>
            </w:tcBorders>
          </w:tcPr>
          <w:p w14:paraId="693FE549" w14:textId="77777777" w:rsidR="001A3CC7" w:rsidRDefault="001A3CC7" w:rsidP="00A82B04">
            <w:pPr>
              <w:pStyle w:val="Table"/>
            </w:pPr>
            <w:r>
              <w:t>Number of trees</w:t>
            </w:r>
          </w:p>
        </w:tc>
        <w:tc>
          <w:tcPr>
            <w:tcW w:w="1214" w:type="dxa"/>
            <w:tcBorders>
              <w:left w:val="nil"/>
              <w:bottom w:val="nil"/>
              <w:right w:val="nil"/>
            </w:tcBorders>
          </w:tcPr>
          <w:p w14:paraId="534C19C7" w14:textId="77777777" w:rsidR="001A3CC7" w:rsidRDefault="001A3CC7" w:rsidP="00A82B04">
            <w:pPr>
              <w:pStyle w:val="Table"/>
            </w:pPr>
            <w:r>
              <w:t>2000</w:t>
            </w:r>
          </w:p>
        </w:tc>
        <w:tc>
          <w:tcPr>
            <w:tcW w:w="1816" w:type="dxa"/>
            <w:tcBorders>
              <w:left w:val="nil"/>
              <w:bottom w:val="nil"/>
              <w:right w:val="nil"/>
            </w:tcBorders>
          </w:tcPr>
          <w:p w14:paraId="2985D597" w14:textId="77777777" w:rsidR="001A3CC7" w:rsidRDefault="001A3CC7" w:rsidP="00A82B04">
            <w:pPr>
              <w:pStyle w:val="Table"/>
            </w:pPr>
            <w:r>
              <w:t>Number of trees</w:t>
            </w:r>
          </w:p>
        </w:tc>
        <w:tc>
          <w:tcPr>
            <w:tcW w:w="1302" w:type="dxa"/>
            <w:tcBorders>
              <w:left w:val="nil"/>
              <w:bottom w:val="nil"/>
              <w:right w:val="nil"/>
            </w:tcBorders>
          </w:tcPr>
          <w:p w14:paraId="0E5FC3B9" w14:textId="77777777" w:rsidR="001A3CC7" w:rsidRDefault="001A3CC7" w:rsidP="00A82B04">
            <w:pPr>
              <w:pStyle w:val="Table"/>
            </w:pPr>
            <w:r>
              <w:t>100</w:t>
            </w:r>
          </w:p>
        </w:tc>
      </w:tr>
      <w:tr w:rsidR="001A3CC7" w14:paraId="5474E010" w14:textId="77777777" w:rsidTr="00A82B04">
        <w:tc>
          <w:tcPr>
            <w:tcW w:w="1846" w:type="dxa"/>
            <w:tcBorders>
              <w:top w:val="nil"/>
              <w:left w:val="nil"/>
              <w:bottom w:val="nil"/>
              <w:right w:val="nil"/>
            </w:tcBorders>
          </w:tcPr>
          <w:p w14:paraId="7014189E" w14:textId="77777777" w:rsidR="001A3CC7" w:rsidRDefault="001A3CC7" w:rsidP="00A82B04">
            <w:pPr>
              <w:pStyle w:val="Table"/>
            </w:pPr>
            <w:r>
              <w:t>Feature classes</w:t>
            </w:r>
          </w:p>
        </w:tc>
        <w:tc>
          <w:tcPr>
            <w:tcW w:w="1356" w:type="dxa"/>
            <w:tcBorders>
              <w:top w:val="nil"/>
              <w:left w:val="nil"/>
              <w:bottom w:val="nil"/>
              <w:right w:val="nil"/>
            </w:tcBorders>
          </w:tcPr>
          <w:p w14:paraId="4E015531" w14:textId="77777777" w:rsidR="001A3CC7" w:rsidRDefault="001A3CC7" w:rsidP="00A82B04">
            <w:pPr>
              <w:pStyle w:val="Table"/>
            </w:pPr>
            <w:r>
              <w:t>linear, quadratic, product, hinge</w:t>
            </w:r>
          </w:p>
        </w:tc>
        <w:tc>
          <w:tcPr>
            <w:tcW w:w="1816" w:type="dxa"/>
            <w:tcBorders>
              <w:top w:val="nil"/>
              <w:left w:val="nil"/>
              <w:bottom w:val="nil"/>
              <w:right w:val="nil"/>
            </w:tcBorders>
          </w:tcPr>
          <w:p w14:paraId="242E12F1" w14:textId="77777777" w:rsidR="001A3CC7" w:rsidRDefault="001A3CC7" w:rsidP="00A82B04">
            <w:pPr>
              <w:pStyle w:val="Table"/>
            </w:pPr>
            <w:r w:rsidRPr="00914FAF">
              <w:t>Number of variable</w:t>
            </w:r>
            <w:r>
              <w:t>s</w:t>
            </w:r>
            <w:r w:rsidRPr="00914FAF">
              <w:t xml:space="preserve"> sampled at each split</w:t>
            </w:r>
          </w:p>
        </w:tc>
        <w:tc>
          <w:tcPr>
            <w:tcW w:w="1214" w:type="dxa"/>
            <w:tcBorders>
              <w:top w:val="nil"/>
              <w:left w:val="nil"/>
              <w:bottom w:val="nil"/>
              <w:right w:val="nil"/>
            </w:tcBorders>
          </w:tcPr>
          <w:p w14:paraId="16996EBC" w14:textId="77777777" w:rsidR="001A3CC7" w:rsidRDefault="001A3CC7" w:rsidP="00A82B04">
            <w:pPr>
              <w:pStyle w:val="Table"/>
            </w:pPr>
            <w:r>
              <w:t>5</w:t>
            </w:r>
          </w:p>
        </w:tc>
        <w:tc>
          <w:tcPr>
            <w:tcW w:w="1816" w:type="dxa"/>
            <w:tcBorders>
              <w:top w:val="nil"/>
              <w:left w:val="nil"/>
              <w:bottom w:val="nil"/>
              <w:right w:val="nil"/>
            </w:tcBorders>
          </w:tcPr>
          <w:p w14:paraId="1739EB34" w14:textId="77777777" w:rsidR="001A3CC7" w:rsidRDefault="001A3CC7" w:rsidP="00A82B04">
            <w:pPr>
              <w:pStyle w:val="Table"/>
            </w:pPr>
            <w:r>
              <w:t>F</w:t>
            </w:r>
            <w:r w:rsidRPr="006153B2">
              <w:t>raction of data used in tree expansion</w:t>
            </w:r>
          </w:p>
        </w:tc>
        <w:tc>
          <w:tcPr>
            <w:tcW w:w="1302" w:type="dxa"/>
            <w:tcBorders>
              <w:top w:val="nil"/>
              <w:left w:val="nil"/>
              <w:bottom w:val="nil"/>
              <w:right w:val="nil"/>
            </w:tcBorders>
          </w:tcPr>
          <w:p w14:paraId="2400F99E" w14:textId="77777777" w:rsidR="001A3CC7" w:rsidRDefault="001A3CC7" w:rsidP="00A82B04">
            <w:pPr>
              <w:pStyle w:val="Table"/>
            </w:pPr>
            <w:r>
              <w:t>0.5</w:t>
            </w:r>
          </w:p>
        </w:tc>
      </w:tr>
      <w:tr w:rsidR="001A3CC7" w14:paraId="05D9B654" w14:textId="77777777" w:rsidTr="00A82B04">
        <w:tc>
          <w:tcPr>
            <w:tcW w:w="1846" w:type="dxa"/>
            <w:tcBorders>
              <w:top w:val="nil"/>
              <w:left w:val="nil"/>
              <w:bottom w:val="nil"/>
              <w:right w:val="nil"/>
            </w:tcBorders>
          </w:tcPr>
          <w:p w14:paraId="22C4B276" w14:textId="5F911B36" w:rsidR="001A3CC7" w:rsidRDefault="001A3CC7" w:rsidP="00A82B04">
            <w:pPr>
              <w:pStyle w:val="Table"/>
            </w:pPr>
          </w:p>
        </w:tc>
        <w:tc>
          <w:tcPr>
            <w:tcW w:w="1356" w:type="dxa"/>
            <w:tcBorders>
              <w:top w:val="nil"/>
              <w:left w:val="nil"/>
              <w:bottom w:val="nil"/>
              <w:right w:val="nil"/>
            </w:tcBorders>
          </w:tcPr>
          <w:p w14:paraId="6EFF1AE0" w14:textId="4F3A1BC3" w:rsidR="001A3CC7" w:rsidRDefault="001A3CC7" w:rsidP="00A82B04">
            <w:pPr>
              <w:pStyle w:val="Table"/>
            </w:pPr>
          </w:p>
        </w:tc>
        <w:tc>
          <w:tcPr>
            <w:tcW w:w="1816" w:type="dxa"/>
            <w:tcBorders>
              <w:top w:val="nil"/>
              <w:left w:val="nil"/>
              <w:bottom w:val="nil"/>
              <w:right w:val="nil"/>
            </w:tcBorders>
          </w:tcPr>
          <w:p w14:paraId="4BB7048D" w14:textId="77777777" w:rsidR="001A3CC7" w:rsidRDefault="001A3CC7" w:rsidP="00A82B04">
            <w:pPr>
              <w:pStyle w:val="Table"/>
            </w:pPr>
            <w:r w:rsidRPr="0018178A">
              <w:t>Minimum size of terminal nodes</w:t>
            </w:r>
          </w:p>
        </w:tc>
        <w:tc>
          <w:tcPr>
            <w:tcW w:w="1214" w:type="dxa"/>
            <w:tcBorders>
              <w:top w:val="nil"/>
              <w:left w:val="nil"/>
              <w:bottom w:val="nil"/>
              <w:right w:val="nil"/>
            </w:tcBorders>
          </w:tcPr>
          <w:p w14:paraId="473674C2" w14:textId="77777777" w:rsidR="001A3CC7" w:rsidRDefault="001A3CC7" w:rsidP="00A82B04">
            <w:pPr>
              <w:pStyle w:val="Table"/>
            </w:pPr>
            <w:r>
              <w:t>1</w:t>
            </w:r>
          </w:p>
        </w:tc>
        <w:tc>
          <w:tcPr>
            <w:tcW w:w="1816" w:type="dxa"/>
            <w:tcBorders>
              <w:top w:val="nil"/>
              <w:left w:val="nil"/>
              <w:bottom w:val="nil"/>
              <w:right w:val="nil"/>
            </w:tcBorders>
          </w:tcPr>
          <w:p w14:paraId="0F2A00A9" w14:textId="77777777" w:rsidR="001A3CC7" w:rsidRDefault="001A3CC7" w:rsidP="00A82B04">
            <w:pPr>
              <w:pStyle w:val="Table"/>
            </w:pPr>
            <w:r w:rsidRPr="005D08D7">
              <w:t>Maximum depth of each tree</w:t>
            </w:r>
          </w:p>
        </w:tc>
        <w:tc>
          <w:tcPr>
            <w:tcW w:w="1302" w:type="dxa"/>
            <w:tcBorders>
              <w:top w:val="nil"/>
              <w:left w:val="nil"/>
              <w:bottom w:val="nil"/>
              <w:right w:val="nil"/>
            </w:tcBorders>
          </w:tcPr>
          <w:p w14:paraId="59680020" w14:textId="77777777" w:rsidR="001A3CC7" w:rsidRDefault="001A3CC7" w:rsidP="00A82B04">
            <w:pPr>
              <w:pStyle w:val="Table"/>
            </w:pPr>
            <w:r>
              <w:t>1</w:t>
            </w:r>
          </w:p>
        </w:tc>
      </w:tr>
      <w:tr w:rsidR="001A3CC7" w14:paraId="422174DE" w14:textId="77777777" w:rsidTr="00A82B04">
        <w:tc>
          <w:tcPr>
            <w:tcW w:w="1846" w:type="dxa"/>
            <w:tcBorders>
              <w:top w:val="nil"/>
              <w:left w:val="nil"/>
              <w:right w:val="nil"/>
            </w:tcBorders>
          </w:tcPr>
          <w:p w14:paraId="0C345ACF" w14:textId="77777777" w:rsidR="001A3CC7" w:rsidRDefault="001A3CC7" w:rsidP="00A82B04">
            <w:pPr>
              <w:pStyle w:val="Table"/>
            </w:pPr>
          </w:p>
        </w:tc>
        <w:tc>
          <w:tcPr>
            <w:tcW w:w="1356" w:type="dxa"/>
            <w:tcBorders>
              <w:top w:val="nil"/>
              <w:left w:val="nil"/>
              <w:right w:val="nil"/>
            </w:tcBorders>
          </w:tcPr>
          <w:p w14:paraId="4F8C63B5" w14:textId="77777777" w:rsidR="001A3CC7" w:rsidRDefault="001A3CC7" w:rsidP="00A82B04">
            <w:pPr>
              <w:pStyle w:val="Table"/>
            </w:pPr>
          </w:p>
        </w:tc>
        <w:tc>
          <w:tcPr>
            <w:tcW w:w="1816" w:type="dxa"/>
            <w:tcBorders>
              <w:top w:val="nil"/>
              <w:left w:val="nil"/>
              <w:right w:val="nil"/>
            </w:tcBorders>
          </w:tcPr>
          <w:p w14:paraId="57D9EC8C" w14:textId="77777777" w:rsidR="001A3CC7" w:rsidRPr="0018178A" w:rsidRDefault="001A3CC7" w:rsidP="00A82B04">
            <w:pPr>
              <w:pStyle w:val="Table"/>
            </w:pPr>
          </w:p>
        </w:tc>
        <w:tc>
          <w:tcPr>
            <w:tcW w:w="1214" w:type="dxa"/>
            <w:tcBorders>
              <w:top w:val="nil"/>
              <w:left w:val="nil"/>
              <w:right w:val="nil"/>
            </w:tcBorders>
          </w:tcPr>
          <w:p w14:paraId="5E548FDF" w14:textId="77777777" w:rsidR="001A3CC7" w:rsidRDefault="001A3CC7" w:rsidP="00A82B04">
            <w:pPr>
              <w:pStyle w:val="Table"/>
            </w:pPr>
          </w:p>
        </w:tc>
        <w:tc>
          <w:tcPr>
            <w:tcW w:w="1816" w:type="dxa"/>
            <w:tcBorders>
              <w:top w:val="nil"/>
              <w:left w:val="nil"/>
              <w:right w:val="nil"/>
            </w:tcBorders>
          </w:tcPr>
          <w:p w14:paraId="6D20561F" w14:textId="77777777" w:rsidR="001A3CC7" w:rsidRDefault="001A3CC7" w:rsidP="00A82B04">
            <w:pPr>
              <w:pStyle w:val="Table"/>
            </w:pPr>
            <w:r>
              <w:t>Shrinkage</w:t>
            </w:r>
          </w:p>
        </w:tc>
        <w:tc>
          <w:tcPr>
            <w:tcW w:w="1302" w:type="dxa"/>
            <w:tcBorders>
              <w:top w:val="nil"/>
              <w:left w:val="nil"/>
              <w:right w:val="nil"/>
            </w:tcBorders>
          </w:tcPr>
          <w:p w14:paraId="0C94C39F" w14:textId="77777777" w:rsidR="001A3CC7" w:rsidRDefault="001A3CC7" w:rsidP="00A82B04">
            <w:pPr>
              <w:pStyle w:val="Table"/>
            </w:pPr>
            <w:r>
              <w:t>0.1</w:t>
            </w:r>
          </w:p>
        </w:tc>
      </w:tr>
    </w:tbl>
    <w:p w14:paraId="188D34C7" w14:textId="77777777" w:rsidR="001A3CC7" w:rsidRDefault="001A3CC7" w:rsidP="001A3CC7"/>
    <w:p w14:paraId="21994B2C" w14:textId="444D50C7" w:rsidR="00D967A7" w:rsidRDefault="00D967A7" w:rsidP="00AE510D">
      <w:r>
        <w:t xml:space="preserve">We compared model effectiveness using </w:t>
      </w:r>
      <w:r w:rsidR="00E5650B">
        <w:t>area under the curve</w:t>
      </w:r>
      <w:r w:rsidR="00E5650B">
        <w:t xml:space="preserve"> (AUC)</w:t>
      </w:r>
      <w:r w:rsidR="00E5650B">
        <w:t xml:space="preserve"> and true skill statistic</w:t>
      </w:r>
      <w:r w:rsidR="00E5650B">
        <w:t xml:space="preserve"> (TSS)</w:t>
      </w:r>
      <w:r w:rsidR="00E5650B">
        <w:t xml:space="preserve"> for the breeding season model and Boyce index for the migratory model, following best practices for presence-absence and presence-only data </w:t>
      </w:r>
      <w:r w:rsidR="00E5650B">
        <w:fldChar w:fldCharType="begin"/>
      </w:r>
      <w:r w:rsidR="00E5650B">
        <w:instrText xml:space="preserve"> ADDIN ZOTERO_ITEM CSL_CITATION {"citationID":"SV0yolms","properties":{"unsorted":false,"formattedCitation":"(Mason and Graham 2002; Hirzel et al. 2006; Leroy et al. 2018)","plainCitation":"(Mason and Graham 2002; Hirzel et al. 2006; Leroy et al. 2018)","noteIndex":0},"citationItems":[{"id":1822,"uris":["http://zotero.org/users/10854879/items/A9WKH325"],"itemData":{"id":1822,"type":"article-journal","abstract":"Abstract\n            \n              The areas beneath the relative (or receiver) operating characteristics (ROC) and relative operating levels (ROL) curves can be used as summary measures of forecast quality, but statistical significance tests for these areas are conducted infrequently in the atmospheric sciences. A development of signal‐detection theory, the ROC curve has been widely applied in the medical and psychology fields where significance tests and relationships to other common statistical methods have been established and described. This valuable literature appears to be largely unknown to the atmospheric sciences where applications of ROC and related techniques are becoming more common. This paper presents a survey of that literature with a focus on the interpretation of the ROC area in the field of forecast verification. We extend these foundations to demonstrate that similar principles can be applied to the interpretation and significance testing of the ROL area. It is shown that the ROC area is equivalent to the Mann–Whitney\n              U\n              ‐statistic testing the significance of forecast event probabilities for cases where events actually occurred with those where events did not occur. A similar derivation shows that the ROL area is equivalent to the Mann–Whitney\n              U\n              ‐statistic testing the magnitude of events with respect to whether or not an event has been forecast. Because the Mann–Whitney\n              U\n              ‐statistic follows a known probability distribution, under certain assumptions it can be used to define the statistical significance of ROC and ROL areas and for comparing the areas of competing forecasts. For large samples the significance of either measure can be accurately assessed using a normal‐distribution approximation. Copyright © 2002 Royal Meteorological Society","container-title":"Quarterly Journal of the Royal Meteorological Society","DOI":"10.1256/003590002320603584","ISSN":"0035-9009, 1477-870X","issue":"584","journalAbbreviation":"Quart J Royal Meteoro Soc","language":"en","page":"2145-2166","source":"DOI.org (Crossref)","title":"Areas beneath the relative operating characteristics (ROC) and relative operating levels (ROL) curves: Statistical significance and interpretation","title-short":"Areas beneath the relative operating characteristics (ROC) and relative operating levels (ROL) curves","volume":"128","author":[{"family":"Mason","given":"S. J."},{"family":"Graham","given":"N. E."}],"issued":{"date-parts":[["2002",7]]}}},{"id":1825,"uris":["http://zotero.org/users/10854879/items/AWNA8X4E"],"itemData":{"id":1825,"type":"article-journal","container-title":"Ecological modelling","issue":"2","page":"142–152","publisher":"Elsevier","source":"Google Scholar","title":"Evaluating the ability of habitat suitability models to predict species presences","volume":"199","author":[{"family":"Hirzel","given":"Alexandre H."},{"family":"Le Lay","given":"Gwenaëlle"},{"family":"Helfer","given":"Véronique"},{"family":"Randin","given":"Christophe"},{"family":"Guisan","given":"Antoine"}],"issued":{"date-parts":[["2006"]]}}},{"id":1824,"uris":["http://zotero.org/users/10854879/items/SVAE3TT9"],"itemData":{"id":1824,"type":"article-journal","abstract":"Abstract\n            \n              The discriminating capacity (i.e. ability to correctly classify presences and absences) of species distribution models (\n              SDM\n              s) is commonly evaluated with metrics such as the area under the receiving operating characteristic curve (\n              AUC\n              ), the Kappa statistic and the true skill statistic (\n              TSS\n              ).\n              AUC\n              and Kappa have been repeatedly criticized, but TSS has fared relatively well since its introduction, mainly because it has been considered as independent of prevalence. In addition, discrimination metrics have been contested because they should be calculated on presence–absence data, but are often used on presence‐only or presence‐background data. Here, we investigate TSS and an alternative set of metrics—similarity indices, also known as\n              F\n              ‐measures. We first show that even in ideal conditions (i.e. perfectly random presence–absence sampling),\n              TSS\n              can be misleading because of its dependence on prevalence, whereas similarity/\n              F\n              ‐measures provide adequate estimations of model discrimination capacity. Second, we show that in real‐world situations where sample prevalence is different from true species prevalence (i.e. biased sampling or presence‐pseudoabsence), no discrimination capacity metric provides adequate estimation of model discrimination capacity, including metrics specifically designed for modelling with presence‐pseudoabsence data. Our conclusions are twofold. First, they unequivocally impel\n              SDM\n              users to understand the potential shortcomings of discrimination metrics when quality presence–absence data are lacking, and we recommend obtaining such data. Second, in the specific case of virtual species, which are increasingly used to develop and test\n              SDM\n              methodologies, we strongly recommend the use of similarity/\n              F\n              ‐measures, which were not biased by prevalence, contrary to\n              TSS\n              .","container-title":"Journal of Biogeography","DOI":"10.1111/jbi.13402","ISSN":"0305-0270, 1365-2699","issue":"9","journalAbbreviation":"Journal of Biogeography","language":"en","page":"1994-2002","source":"DOI.org (Crossref)","title":"Without quality presence–absence data, discrimination metrics such as &lt;span style=\"font-variant:small-caps;\"&gt;TSS&lt;/span&gt; can be misleading measures of model performance","title-short":"Without quality presence–absence data, discrimination metrics such as &lt;span style=\"font-variant","volume":"45","author":[{"family":"Leroy","given":"Boris"},{"family":"Delsol","given":"Robin"},{"family":"Hugueny","given":"Bernard"},{"family":"Meynard","given":"Christine N."},{"family":"Barhoumi","given":"Chéïma"},{"family":"Barbet‐Massin","given":"Morgane"},{"family":"Bellard","given":"Céline"}],"issued":{"date-parts":[["2018",9]]}}}],"schema":"https://github.com/citation-style-language/schema/raw/master/csl-citation.json"} </w:instrText>
      </w:r>
      <w:r w:rsidR="00E5650B">
        <w:fldChar w:fldCharType="separate"/>
      </w:r>
      <w:r w:rsidR="00E5650B">
        <w:rPr>
          <w:noProof/>
        </w:rPr>
        <w:t>(Mason and Graham 2002; Hirzel et al. 2006; Leroy et al. 2018)</w:t>
      </w:r>
      <w:r w:rsidR="00E5650B">
        <w:fldChar w:fldCharType="end"/>
      </w:r>
      <w:r w:rsidR="00E5650B">
        <w:t>.</w:t>
      </w:r>
      <w:r w:rsidR="00E5650B">
        <w:t xml:space="preserve"> </w:t>
      </w:r>
      <w:r>
        <w:t xml:space="preserve">The </w:t>
      </w:r>
      <w:proofErr w:type="spellStart"/>
      <w:r>
        <w:t>Maxn</w:t>
      </w:r>
      <w:r w:rsidR="000E71C5">
        <w:t>e</w:t>
      </w:r>
      <w:r>
        <w:t>t</w:t>
      </w:r>
      <w:proofErr w:type="spellEnd"/>
      <w:r>
        <w:t xml:space="preserve"> model did not converge when applied to the breeding season data, and so AUC and TSS were not calculated for that model. When applied to the migratory dataset, the random forest model had </w:t>
      </w:r>
      <w:r w:rsidR="00AE510D">
        <w:t>a higher Boyce index</w:t>
      </w:r>
      <w:r>
        <w:t xml:space="preserve"> than </w:t>
      </w:r>
      <w:proofErr w:type="spellStart"/>
      <w:r>
        <w:t>Maxn</w:t>
      </w:r>
      <w:r w:rsidR="00AE510D">
        <w:t>e</w:t>
      </w:r>
      <w:r>
        <w:t>t</w:t>
      </w:r>
      <w:proofErr w:type="spellEnd"/>
      <w:r>
        <w:t xml:space="preserve"> or boosted regression trees (Table A2). Applied to the breeding dataset, random forest </w:t>
      </w:r>
      <w:r w:rsidR="00AE510D">
        <w:t>had higher AUC and TSS than boosted regression trees.</w:t>
      </w:r>
      <w:r>
        <w:t xml:space="preserve"> Based on these results, we elected to use </w:t>
      </w:r>
      <w:r w:rsidRPr="00E66813">
        <w:rPr>
          <w:szCs w:val="24"/>
        </w:rPr>
        <w:t>random forest techniques for all subsequent models</w:t>
      </w:r>
      <w:r>
        <w:t>.</w:t>
      </w:r>
    </w:p>
    <w:p w14:paraId="10EBB113" w14:textId="77777777" w:rsidR="00692065" w:rsidRDefault="00692065" w:rsidP="00692065"/>
    <w:p w14:paraId="33E72065" w14:textId="42F019D6" w:rsidR="00692065" w:rsidRDefault="00692065" w:rsidP="00692065">
      <w:r>
        <w:t xml:space="preserve">Table A2. </w:t>
      </w:r>
      <w:r w:rsidR="00826EBC">
        <w:t xml:space="preserve">Predictive metrics from three </w:t>
      </w:r>
      <w:r w:rsidR="00DE6BB0">
        <w:t xml:space="preserve">species distribution modeling </w:t>
      </w:r>
      <w:r w:rsidR="00826EBC">
        <w:t xml:space="preserve">techniques evaluated for </w:t>
      </w:r>
      <w:r w:rsidR="00DE6BB0">
        <w:t>use in predicting American woodcock (</w:t>
      </w:r>
      <w:proofErr w:type="spellStart"/>
      <w:r w:rsidR="00DE6BB0">
        <w:rPr>
          <w:i/>
          <w:iCs/>
        </w:rPr>
        <w:t>Scolopax</w:t>
      </w:r>
      <w:proofErr w:type="spellEnd"/>
      <w:r w:rsidR="00DE6BB0">
        <w:rPr>
          <w:i/>
          <w:iCs/>
        </w:rPr>
        <w:t xml:space="preserve"> minor</w:t>
      </w:r>
      <w:r w:rsidR="00DE6BB0">
        <w:t>) distributions.</w:t>
      </w:r>
      <w:r w:rsidR="00826EBC">
        <w:t xml:space="preserve"> </w:t>
      </w:r>
      <w:r w:rsidR="00DE6BB0">
        <w:t>Metrics include area</w:t>
      </w:r>
      <w:r w:rsidR="00E5650B">
        <w:t xml:space="preserve"> </w:t>
      </w:r>
      <w:r w:rsidR="00DE6BB0">
        <w:t xml:space="preserve">under the curve and true skill statistic for the breeding season model and Boyce index for the migratory model, following best </w:t>
      </w:r>
      <w:r w:rsidR="00DE6BB0">
        <w:t>practices for presence-absence and presence-only data</w:t>
      </w:r>
      <w:r w:rsidR="00DE6BB0">
        <w:t xml:space="preserve"> </w:t>
      </w:r>
      <w:r w:rsidR="00DE6BB0">
        <w:fldChar w:fldCharType="begin"/>
      </w:r>
      <w:r w:rsidR="00DE6BB0">
        <w:instrText xml:space="preserve"> ADDIN ZOTERO_ITEM CSL_CITATION {"citationID":"SV0yolms","properties":{"unsorted":false,"formattedCitation":"(Mason and Graham 2002; Hirzel et al. 2006; Leroy et al. 2018)","plainCitation":"(Mason and Graham 2002; Hirzel et al. 2006; Leroy et al. 2018)","noteIndex":0},"citationItems":[{"id":1822,"uris":["http://zotero.org/users/10854879/items/A9WKH325"],"itemData":{"id":1822,"type":"article-journal","abstract":"Abstract\n            \n              The areas beneath the relative (or receiver) operating characteristics (ROC) and relative operating levels (ROL) curves can be used as summary measures of forecast quality, but statistical significance tests for these areas are conducted infrequently in the atmospheric sciences. A development of signal‐detection theory, the ROC curve has been widely applied in the medical and psychology fields where significance tests and relationships to other common statistical methods have been established and described. This valuable literature appears to be largely unknown to the atmospheric sciences where applications of ROC and related techniques are becoming more common. This paper presents a survey of that literature with a focus on the interpretation of the ROC area in the field of forecast verification. We extend these foundations to demonstrate that similar principles can be applied to the interpretation and significance testing of the ROL area. It is shown that the ROC area is equivalent to the Mann–Whitney\n              U\n              ‐statistic testing the significance of forecast event probabilities for cases where events actually occurred with those where events did not occur. A similar derivation shows that the ROL area is equivalent to the Mann–Whitney\n              U\n              ‐statistic testing the magnitude of events with respect to whether or not an event has been forecast. Because the Mann–Whitney\n              U\n              ‐statistic follows a known probability distribution, under certain assumptions it can be used to define the statistical significance of ROC and ROL areas and for comparing the areas of competing forecasts. For large samples the significance of either measure can be accurately assessed using a normal‐distribution approximation. Copyright © 2002 Royal Meteorological Society","container-title":"Quarterly Journal of the Royal Meteorological Society","DOI":"10.1256/003590002320603584","ISSN":"0035-9009, 1477-870X","issue":"584","journalAbbreviation":"Quart J Royal Meteoro Soc","language":"en","page":"2145-2166","source":"DOI.org (Crossref)","title":"Areas beneath the relative operating characteristics (ROC) and relative operating levels (ROL) curves: Statistical significance and interpretation","title-short":"Areas beneath the relative operating characteristics (ROC) and relative operating levels (ROL) curves","volume":"128","author":[{"family":"Mason","given":"S. J."},{"family":"Graham","given":"N. E."}],"issued":{"date-parts":[["2002",7]]}}},{"id":1825,"uris":["http://zotero.org/users/10854879/items/AWNA8X4E"],"itemData":{"id":1825,"type":"article-journal","container-title":"Ecological modelling","issue":"2","page":"142–152","publisher":"Elsevier","source":"Google Scholar","title":"Evaluating the ability of habitat suitability models to predict species presences","volume":"199","author":[{"family":"Hirzel","given":"Alexandre H."},{"family":"Le Lay","given":"Gwenaëlle"},{"family":"Helfer","given":"Véronique"},{"family":"Randin","given":"Christophe"},{"family":"Guisan","given":"Antoine"}],"issued":{"date-parts":[["2006"]]}}},{"id":1824,"uris":["http://zotero.org/users/10854879/items/SVAE3TT9"],"itemData":{"id":1824,"type":"article-journal","abstract":"Abstract\n            \n              The discriminating capacity (i.e. ability to correctly classify presences and absences) of species distribution models (\n              SDM\n              s) is commonly evaluated with metrics such as the area under the receiving operating characteristic curve (\n              AUC\n              ), the Kappa statistic and the true skill statistic (\n              TSS\n              ).\n              AUC\n              and Kappa have been repeatedly criticized, but TSS has fared relatively well since its introduction, mainly because it has been considered as independent of prevalence. In addition, discrimination metrics have been contested because they should be calculated on presence–absence data, but are often used on presence‐only or presence‐background data. Here, we investigate TSS and an alternative set of metrics—similarity indices, also known as\n              F\n              ‐measures. We first show that even in ideal conditions (i.e. perfectly random presence–absence sampling),\n              TSS\n              can be misleading because of its dependence on prevalence, whereas similarity/\n              F\n              ‐measures provide adequate estimations of model discrimination capacity. Second, we show that in real‐world situations where sample prevalence is different from true species prevalence (i.e. biased sampling or presence‐pseudoabsence), no discrimination capacity metric provides adequate estimation of model discrimination capacity, including metrics specifically designed for modelling with presence‐pseudoabsence data. Our conclusions are twofold. First, they unequivocally impel\n              SDM\n              users to understand the potential shortcomings of discrimination metrics when quality presence–absence data are lacking, and we recommend obtaining such data. Second, in the specific case of virtual species, which are increasingly used to develop and test\n              SDM\n              methodologies, we strongly recommend the use of similarity/\n              F\n              ‐measures, which were not biased by prevalence, contrary to\n              TSS\n              .","container-title":"Journal of Biogeography","DOI":"10.1111/jbi.13402","ISSN":"0305-0270, 1365-2699","issue":"9","journalAbbreviation":"Journal of Biogeography","language":"en","page":"1994-2002","source":"DOI.org (Crossref)","title":"Without quality presence–absence data, discrimination metrics such as &lt;span style=\"font-variant:small-caps;\"&gt;TSS&lt;/span&gt; can be misleading measures of model performance","title-short":"Without quality presence–absence data, discrimination metrics such as &lt;span style=\"font-variant","volume":"45","author":[{"family":"Leroy","given":"Boris"},{"family":"Delsol","given":"Robin"},{"family":"Hugueny","given":"Bernard"},{"family":"Meynard","given":"Christine N."},{"family":"Barhoumi","given":"Chéïma"},{"family":"Barbet‐Massin","given":"Morgane"},{"family":"Bellard","given":"Céline"}],"issued":{"date-parts":[["2018",9]]}}}],"schema":"https://github.com/citation-style-language/schema/raw/master/csl-citation.json"} </w:instrText>
      </w:r>
      <w:r w:rsidR="00DE6BB0">
        <w:fldChar w:fldCharType="separate"/>
      </w:r>
      <w:r w:rsidR="00DE6BB0">
        <w:rPr>
          <w:noProof/>
        </w:rPr>
        <w:t>(Mason and Graham 2002; Hirzel et al. 2006; Leroy et al. 2018)</w:t>
      </w:r>
      <w:r w:rsidR="00DE6BB0">
        <w:fldChar w:fldCharType="end"/>
      </w:r>
      <w:r w:rsidR="00DE6BB0">
        <w:t>.</w:t>
      </w:r>
    </w:p>
    <w:tbl>
      <w:tblPr>
        <w:tblStyle w:val="TableGrid"/>
        <w:tblW w:w="7740" w:type="dxa"/>
        <w:jc w:val="center"/>
        <w:tblLayout w:type="fixed"/>
        <w:tblLook w:val="04A0" w:firstRow="1" w:lastRow="0" w:firstColumn="1" w:lastColumn="0" w:noHBand="0" w:noVBand="1"/>
      </w:tblPr>
      <w:tblGrid>
        <w:gridCol w:w="1190"/>
        <w:gridCol w:w="880"/>
        <w:gridCol w:w="1080"/>
        <w:gridCol w:w="1800"/>
        <w:gridCol w:w="2790"/>
      </w:tblGrid>
      <w:tr w:rsidR="00692065" w14:paraId="15724B1F" w14:textId="77777777" w:rsidTr="003708A9">
        <w:trPr>
          <w:jc w:val="center"/>
        </w:trPr>
        <w:tc>
          <w:tcPr>
            <w:tcW w:w="1190" w:type="dxa"/>
            <w:tcBorders>
              <w:top w:val="nil"/>
              <w:left w:val="nil"/>
              <w:bottom w:val="single" w:sz="4" w:space="0" w:color="auto"/>
              <w:right w:val="nil"/>
            </w:tcBorders>
          </w:tcPr>
          <w:p w14:paraId="44D28C59" w14:textId="77777777" w:rsidR="00692065" w:rsidRDefault="00692065" w:rsidP="00A82B04">
            <w:pPr>
              <w:pStyle w:val="Table"/>
              <w:jc w:val="both"/>
            </w:pPr>
          </w:p>
        </w:tc>
        <w:tc>
          <w:tcPr>
            <w:tcW w:w="880" w:type="dxa"/>
            <w:tcBorders>
              <w:top w:val="nil"/>
              <w:left w:val="nil"/>
              <w:bottom w:val="single" w:sz="4" w:space="0" w:color="auto"/>
              <w:right w:val="nil"/>
            </w:tcBorders>
          </w:tcPr>
          <w:p w14:paraId="5C5EFB03" w14:textId="77777777" w:rsidR="00692065" w:rsidRDefault="00692065" w:rsidP="00A82B04">
            <w:pPr>
              <w:pStyle w:val="Table"/>
              <w:jc w:val="both"/>
            </w:pPr>
          </w:p>
        </w:tc>
        <w:tc>
          <w:tcPr>
            <w:tcW w:w="1080" w:type="dxa"/>
            <w:tcBorders>
              <w:top w:val="single" w:sz="4" w:space="0" w:color="auto"/>
              <w:left w:val="nil"/>
              <w:bottom w:val="single" w:sz="4" w:space="0" w:color="auto"/>
              <w:right w:val="nil"/>
            </w:tcBorders>
          </w:tcPr>
          <w:p w14:paraId="42D08346" w14:textId="0CC2374F" w:rsidR="00692065" w:rsidRDefault="00692065" w:rsidP="00A82B04">
            <w:pPr>
              <w:pStyle w:val="Table"/>
              <w:jc w:val="both"/>
            </w:pPr>
            <w:proofErr w:type="spellStart"/>
            <w:r w:rsidRPr="007B5F89">
              <w:rPr>
                <w:b/>
                <w:bCs w:val="0"/>
              </w:rPr>
              <w:t>Maxn</w:t>
            </w:r>
            <w:r w:rsidR="00F26962">
              <w:rPr>
                <w:b/>
                <w:bCs w:val="0"/>
              </w:rPr>
              <w:t>e</w:t>
            </w:r>
            <w:r w:rsidRPr="007B5F89">
              <w:rPr>
                <w:b/>
                <w:bCs w:val="0"/>
              </w:rPr>
              <w:t>t</w:t>
            </w:r>
            <w:proofErr w:type="spellEnd"/>
          </w:p>
        </w:tc>
        <w:tc>
          <w:tcPr>
            <w:tcW w:w="1800" w:type="dxa"/>
            <w:tcBorders>
              <w:top w:val="single" w:sz="4" w:space="0" w:color="auto"/>
              <w:left w:val="nil"/>
              <w:bottom w:val="single" w:sz="4" w:space="0" w:color="auto"/>
              <w:right w:val="nil"/>
            </w:tcBorders>
          </w:tcPr>
          <w:p w14:paraId="5448DE75" w14:textId="77777777" w:rsidR="00692065" w:rsidRDefault="00692065" w:rsidP="00A82B04">
            <w:pPr>
              <w:pStyle w:val="Table"/>
              <w:jc w:val="both"/>
            </w:pPr>
            <w:r w:rsidRPr="007B5F89">
              <w:rPr>
                <w:b/>
                <w:bCs w:val="0"/>
              </w:rPr>
              <w:t>Random forest</w:t>
            </w:r>
          </w:p>
        </w:tc>
        <w:tc>
          <w:tcPr>
            <w:tcW w:w="2790" w:type="dxa"/>
            <w:tcBorders>
              <w:top w:val="single" w:sz="4" w:space="0" w:color="auto"/>
              <w:left w:val="nil"/>
              <w:bottom w:val="single" w:sz="4" w:space="0" w:color="auto"/>
              <w:right w:val="nil"/>
            </w:tcBorders>
          </w:tcPr>
          <w:p w14:paraId="0A8B1A08" w14:textId="77777777" w:rsidR="00692065" w:rsidRDefault="00692065" w:rsidP="00A82B04">
            <w:pPr>
              <w:pStyle w:val="Table"/>
              <w:jc w:val="both"/>
            </w:pPr>
            <w:r w:rsidRPr="007B5F89">
              <w:rPr>
                <w:b/>
                <w:bCs w:val="0"/>
              </w:rPr>
              <w:t>Boosted regression trees</w:t>
            </w:r>
          </w:p>
        </w:tc>
      </w:tr>
      <w:tr w:rsidR="00692065" w14:paraId="155E6E8E" w14:textId="77777777" w:rsidTr="003708A9">
        <w:trPr>
          <w:jc w:val="center"/>
        </w:trPr>
        <w:tc>
          <w:tcPr>
            <w:tcW w:w="1190" w:type="dxa"/>
            <w:vMerge w:val="restart"/>
            <w:tcBorders>
              <w:top w:val="single" w:sz="4" w:space="0" w:color="auto"/>
              <w:left w:val="nil"/>
              <w:right w:val="nil"/>
            </w:tcBorders>
          </w:tcPr>
          <w:p w14:paraId="5CB8B02A" w14:textId="77777777" w:rsidR="00692065" w:rsidRPr="00826EBC" w:rsidRDefault="00692065" w:rsidP="00A82B04">
            <w:pPr>
              <w:pStyle w:val="Table"/>
              <w:jc w:val="both"/>
            </w:pPr>
            <w:r w:rsidRPr="00826EBC">
              <w:t>Breeding season</w:t>
            </w:r>
          </w:p>
        </w:tc>
        <w:tc>
          <w:tcPr>
            <w:tcW w:w="880" w:type="dxa"/>
            <w:tcBorders>
              <w:top w:val="single" w:sz="4" w:space="0" w:color="auto"/>
              <w:left w:val="nil"/>
              <w:bottom w:val="nil"/>
              <w:right w:val="nil"/>
            </w:tcBorders>
          </w:tcPr>
          <w:p w14:paraId="344B152C" w14:textId="77777777" w:rsidR="00692065" w:rsidRPr="00826EBC" w:rsidRDefault="00692065" w:rsidP="00A82B04">
            <w:pPr>
              <w:pStyle w:val="Table"/>
              <w:jc w:val="both"/>
              <w:rPr>
                <w:i/>
                <w:iCs/>
              </w:rPr>
            </w:pPr>
            <w:r w:rsidRPr="00826EBC">
              <w:rPr>
                <w:i/>
                <w:iCs/>
              </w:rPr>
              <w:t>AUC</w:t>
            </w:r>
          </w:p>
        </w:tc>
        <w:tc>
          <w:tcPr>
            <w:tcW w:w="1080" w:type="dxa"/>
            <w:tcBorders>
              <w:top w:val="single" w:sz="4" w:space="0" w:color="auto"/>
              <w:left w:val="nil"/>
              <w:bottom w:val="nil"/>
              <w:right w:val="nil"/>
            </w:tcBorders>
          </w:tcPr>
          <w:p w14:paraId="3F7811A0" w14:textId="77777777" w:rsidR="00692065" w:rsidRPr="00826EBC" w:rsidRDefault="00692065" w:rsidP="00A82B04">
            <w:pPr>
              <w:pStyle w:val="Table"/>
              <w:jc w:val="both"/>
              <w:rPr>
                <w:vertAlign w:val="superscript"/>
              </w:rPr>
            </w:pPr>
            <w:r w:rsidRPr="00826EBC">
              <w:t>NA</w:t>
            </w:r>
            <w:r w:rsidRPr="00826EBC">
              <w:rPr>
                <w:vertAlign w:val="superscript"/>
              </w:rPr>
              <w:t>1</w:t>
            </w:r>
          </w:p>
        </w:tc>
        <w:tc>
          <w:tcPr>
            <w:tcW w:w="1800" w:type="dxa"/>
            <w:tcBorders>
              <w:top w:val="single" w:sz="4" w:space="0" w:color="auto"/>
              <w:left w:val="nil"/>
              <w:bottom w:val="nil"/>
              <w:right w:val="nil"/>
            </w:tcBorders>
          </w:tcPr>
          <w:p w14:paraId="7C48FC64" w14:textId="1843843E" w:rsidR="00692065" w:rsidRPr="00826EBC" w:rsidRDefault="00826EBC" w:rsidP="00A82B04">
            <w:pPr>
              <w:pStyle w:val="Table"/>
              <w:jc w:val="both"/>
            </w:pPr>
            <w:r w:rsidRPr="00826EBC">
              <w:t>0.717668</w:t>
            </w:r>
          </w:p>
        </w:tc>
        <w:tc>
          <w:tcPr>
            <w:tcW w:w="2790" w:type="dxa"/>
            <w:tcBorders>
              <w:top w:val="single" w:sz="4" w:space="0" w:color="auto"/>
              <w:left w:val="nil"/>
              <w:bottom w:val="nil"/>
              <w:right w:val="nil"/>
            </w:tcBorders>
          </w:tcPr>
          <w:p w14:paraId="17077D4B" w14:textId="32F67884" w:rsidR="00692065" w:rsidRPr="00A860FD" w:rsidRDefault="00826EBC" w:rsidP="00A82B04">
            <w:pPr>
              <w:pStyle w:val="Table"/>
              <w:jc w:val="both"/>
              <w:rPr>
                <w:highlight w:val="yellow"/>
              </w:rPr>
            </w:pPr>
            <w:r w:rsidRPr="00826EBC">
              <w:t>0.6323236</w:t>
            </w:r>
          </w:p>
        </w:tc>
      </w:tr>
      <w:tr w:rsidR="00692065" w14:paraId="1C95C641" w14:textId="77777777" w:rsidTr="003708A9">
        <w:trPr>
          <w:jc w:val="center"/>
        </w:trPr>
        <w:tc>
          <w:tcPr>
            <w:tcW w:w="1190" w:type="dxa"/>
            <w:vMerge/>
            <w:tcBorders>
              <w:left w:val="nil"/>
              <w:bottom w:val="nil"/>
              <w:right w:val="nil"/>
            </w:tcBorders>
          </w:tcPr>
          <w:p w14:paraId="62C3FBED" w14:textId="77777777" w:rsidR="00692065" w:rsidRPr="00826EBC" w:rsidRDefault="00692065" w:rsidP="00A82B04">
            <w:pPr>
              <w:pStyle w:val="Table"/>
              <w:jc w:val="both"/>
            </w:pPr>
          </w:p>
        </w:tc>
        <w:tc>
          <w:tcPr>
            <w:tcW w:w="880" w:type="dxa"/>
            <w:tcBorders>
              <w:top w:val="nil"/>
              <w:left w:val="nil"/>
              <w:bottom w:val="nil"/>
              <w:right w:val="nil"/>
            </w:tcBorders>
          </w:tcPr>
          <w:p w14:paraId="13A491BC" w14:textId="77777777" w:rsidR="00692065" w:rsidRPr="00826EBC" w:rsidRDefault="00692065" w:rsidP="00A82B04">
            <w:pPr>
              <w:pStyle w:val="Table"/>
              <w:jc w:val="both"/>
              <w:rPr>
                <w:i/>
                <w:iCs/>
              </w:rPr>
            </w:pPr>
            <w:r w:rsidRPr="00826EBC">
              <w:rPr>
                <w:i/>
                <w:iCs/>
              </w:rPr>
              <w:t>TSS</w:t>
            </w:r>
          </w:p>
        </w:tc>
        <w:tc>
          <w:tcPr>
            <w:tcW w:w="1080" w:type="dxa"/>
            <w:tcBorders>
              <w:top w:val="nil"/>
              <w:left w:val="nil"/>
              <w:bottom w:val="nil"/>
              <w:right w:val="nil"/>
            </w:tcBorders>
          </w:tcPr>
          <w:p w14:paraId="2B779C96" w14:textId="77777777" w:rsidR="00692065" w:rsidRPr="00826EBC" w:rsidRDefault="00692065" w:rsidP="00A82B04">
            <w:pPr>
              <w:pStyle w:val="Table"/>
              <w:jc w:val="both"/>
              <w:rPr>
                <w:vertAlign w:val="superscript"/>
              </w:rPr>
            </w:pPr>
            <w:r w:rsidRPr="00826EBC">
              <w:t>NA</w:t>
            </w:r>
            <w:r w:rsidRPr="00826EBC">
              <w:rPr>
                <w:vertAlign w:val="superscript"/>
              </w:rPr>
              <w:t>1</w:t>
            </w:r>
          </w:p>
        </w:tc>
        <w:tc>
          <w:tcPr>
            <w:tcW w:w="1800" w:type="dxa"/>
            <w:tcBorders>
              <w:top w:val="nil"/>
              <w:left w:val="nil"/>
              <w:bottom w:val="nil"/>
              <w:right w:val="nil"/>
            </w:tcBorders>
          </w:tcPr>
          <w:p w14:paraId="26BEDE51" w14:textId="7E38171C" w:rsidR="00692065" w:rsidRPr="00826EBC" w:rsidRDefault="00826EBC" w:rsidP="00A82B04">
            <w:pPr>
              <w:pStyle w:val="Table"/>
              <w:jc w:val="both"/>
            </w:pPr>
            <w:r w:rsidRPr="00826EBC">
              <w:t>0.4512318</w:t>
            </w:r>
          </w:p>
        </w:tc>
        <w:tc>
          <w:tcPr>
            <w:tcW w:w="2790" w:type="dxa"/>
            <w:tcBorders>
              <w:top w:val="nil"/>
              <w:left w:val="nil"/>
              <w:bottom w:val="nil"/>
              <w:right w:val="nil"/>
            </w:tcBorders>
          </w:tcPr>
          <w:p w14:paraId="03638945" w14:textId="6D34BC95" w:rsidR="00692065" w:rsidRPr="00A860FD" w:rsidRDefault="00826EBC" w:rsidP="00A82B04">
            <w:pPr>
              <w:pStyle w:val="Table"/>
              <w:jc w:val="both"/>
              <w:rPr>
                <w:highlight w:val="yellow"/>
              </w:rPr>
            </w:pPr>
            <w:r w:rsidRPr="00826EBC">
              <w:t>0.3236551</w:t>
            </w:r>
          </w:p>
        </w:tc>
      </w:tr>
      <w:tr w:rsidR="00692065" w14:paraId="283F29AB" w14:textId="77777777" w:rsidTr="003708A9">
        <w:trPr>
          <w:jc w:val="center"/>
        </w:trPr>
        <w:tc>
          <w:tcPr>
            <w:tcW w:w="1190" w:type="dxa"/>
            <w:tcBorders>
              <w:top w:val="nil"/>
              <w:left w:val="nil"/>
              <w:bottom w:val="single" w:sz="4" w:space="0" w:color="auto"/>
              <w:right w:val="nil"/>
            </w:tcBorders>
          </w:tcPr>
          <w:p w14:paraId="38E36935" w14:textId="77777777" w:rsidR="00692065" w:rsidRPr="00826EBC" w:rsidRDefault="00692065" w:rsidP="00A82B04">
            <w:pPr>
              <w:pStyle w:val="Table"/>
              <w:jc w:val="both"/>
            </w:pPr>
            <w:r w:rsidRPr="00826EBC">
              <w:t>Migratory season</w:t>
            </w:r>
          </w:p>
        </w:tc>
        <w:tc>
          <w:tcPr>
            <w:tcW w:w="880" w:type="dxa"/>
            <w:tcBorders>
              <w:top w:val="nil"/>
              <w:left w:val="nil"/>
              <w:bottom w:val="single" w:sz="4" w:space="0" w:color="auto"/>
              <w:right w:val="nil"/>
            </w:tcBorders>
          </w:tcPr>
          <w:p w14:paraId="0747D592" w14:textId="63BDEF79" w:rsidR="00692065" w:rsidRPr="00826EBC" w:rsidRDefault="003708A9" w:rsidP="00A82B04">
            <w:pPr>
              <w:pStyle w:val="Table"/>
              <w:jc w:val="both"/>
              <w:rPr>
                <w:i/>
                <w:iCs/>
              </w:rPr>
            </w:pPr>
            <w:r w:rsidRPr="00826EBC">
              <w:rPr>
                <w:i/>
                <w:iCs/>
              </w:rPr>
              <w:t>Boyce index</w:t>
            </w:r>
          </w:p>
        </w:tc>
        <w:tc>
          <w:tcPr>
            <w:tcW w:w="1080" w:type="dxa"/>
            <w:tcBorders>
              <w:top w:val="nil"/>
              <w:left w:val="nil"/>
              <w:bottom w:val="single" w:sz="4" w:space="0" w:color="auto"/>
              <w:right w:val="nil"/>
            </w:tcBorders>
          </w:tcPr>
          <w:p w14:paraId="69D9082B" w14:textId="2CC49A0A" w:rsidR="00692065" w:rsidRPr="00826EBC" w:rsidRDefault="00692065" w:rsidP="00A82B04">
            <w:pPr>
              <w:pStyle w:val="Table"/>
              <w:jc w:val="both"/>
            </w:pPr>
            <w:r w:rsidRPr="00826EBC">
              <w:t>0.</w:t>
            </w:r>
            <w:r w:rsidR="00F26962" w:rsidRPr="00826EBC">
              <w:t>2764</w:t>
            </w:r>
          </w:p>
        </w:tc>
        <w:tc>
          <w:tcPr>
            <w:tcW w:w="1800" w:type="dxa"/>
            <w:tcBorders>
              <w:top w:val="nil"/>
              <w:left w:val="nil"/>
              <w:bottom w:val="single" w:sz="4" w:space="0" w:color="auto"/>
              <w:right w:val="nil"/>
            </w:tcBorders>
          </w:tcPr>
          <w:p w14:paraId="461B5A6C" w14:textId="7C16490B" w:rsidR="00692065" w:rsidRPr="00826EBC" w:rsidRDefault="003708A9" w:rsidP="00A82B04">
            <w:pPr>
              <w:pStyle w:val="Table"/>
              <w:jc w:val="both"/>
            </w:pPr>
            <w:r w:rsidRPr="00826EBC">
              <w:t>0.7654</w:t>
            </w:r>
          </w:p>
        </w:tc>
        <w:tc>
          <w:tcPr>
            <w:tcW w:w="2790" w:type="dxa"/>
            <w:tcBorders>
              <w:top w:val="nil"/>
              <w:left w:val="nil"/>
              <w:bottom w:val="single" w:sz="4" w:space="0" w:color="auto"/>
              <w:right w:val="nil"/>
            </w:tcBorders>
          </w:tcPr>
          <w:p w14:paraId="2268C44B" w14:textId="06FDA89D" w:rsidR="00692065" w:rsidRPr="00922E5C" w:rsidRDefault="00692065" w:rsidP="00A82B04">
            <w:pPr>
              <w:pStyle w:val="Table"/>
              <w:jc w:val="both"/>
            </w:pPr>
            <w:r w:rsidRPr="00922E5C">
              <w:t>0.</w:t>
            </w:r>
            <w:r w:rsidR="00922E5C" w:rsidRPr="00922E5C">
              <w:t>5968</w:t>
            </w:r>
          </w:p>
        </w:tc>
      </w:tr>
    </w:tbl>
    <w:p w14:paraId="7AFDDC81" w14:textId="77777777" w:rsidR="00692065" w:rsidRDefault="00692065" w:rsidP="00692065"/>
    <w:p w14:paraId="5B38DB2C" w14:textId="52A2AD9E" w:rsidR="00EC63F8" w:rsidRDefault="00692065" w:rsidP="00692065">
      <w:r>
        <w:rPr>
          <w:vertAlign w:val="superscript"/>
        </w:rPr>
        <w:t>1</w:t>
      </w:r>
      <w:r>
        <w:t xml:space="preserve"> The Maxn</w:t>
      </w:r>
      <w:r w:rsidR="000E71C5">
        <w:t>e</w:t>
      </w:r>
      <w:r>
        <w:t>t model for the breeding season did not converge after the maximum number of iterations (100,000), and therefore AUC and TSS were not calculated.</w:t>
      </w:r>
    </w:p>
    <w:p w14:paraId="40C70864" w14:textId="77777777" w:rsidR="003823F0" w:rsidRDefault="003823F0" w:rsidP="00692065"/>
    <w:p w14:paraId="157B8A35" w14:textId="67D3EED2" w:rsidR="003823F0" w:rsidRDefault="003823F0" w:rsidP="003823F0">
      <w:pPr>
        <w:spacing w:line="480" w:lineRule="auto"/>
        <w:rPr>
          <w:rFonts w:cs="Times New Roman"/>
          <w:b/>
          <w:bCs/>
          <w:szCs w:val="24"/>
        </w:rPr>
      </w:pPr>
      <w:r w:rsidRPr="005442D6">
        <w:rPr>
          <w:rFonts w:cs="Times New Roman"/>
          <w:b/>
          <w:bCs/>
          <w:szCs w:val="24"/>
        </w:rPr>
        <w:t xml:space="preserve">Appendix </w:t>
      </w:r>
      <w:r>
        <w:rPr>
          <w:rFonts w:cs="Times New Roman"/>
          <w:b/>
          <w:bCs/>
          <w:szCs w:val="24"/>
        </w:rPr>
        <w:t>2</w:t>
      </w:r>
      <w:r w:rsidRPr="005442D6">
        <w:rPr>
          <w:rFonts w:cs="Times New Roman"/>
          <w:b/>
          <w:bCs/>
          <w:szCs w:val="24"/>
        </w:rPr>
        <w:t>.</w:t>
      </w:r>
      <w:r>
        <w:rPr>
          <w:rFonts w:cs="Times New Roman"/>
          <w:b/>
          <w:bCs/>
          <w:szCs w:val="24"/>
        </w:rPr>
        <w:t xml:space="preserve"> Design of W-PAST</w:t>
      </w:r>
    </w:p>
    <w:p w14:paraId="5E0A1CC2" w14:textId="47B02402" w:rsidR="00DE6047" w:rsidRPr="00E66813" w:rsidRDefault="00DE6047" w:rsidP="00832DE1">
      <w:r w:rsidRPr="00E66813">
        <w:t xml:space="preserve">We created a Shiny </w:t>
      </w:r>
      <w:r w:rsidR="00832DE1">
        <w:t>application</w:t>
      </w:r>
      <w:r w:rsidRPr="00E66813">
        <w:t xml:space="preserve"> </w:t>
      </w:r>
      <w:r w:rsidR="00514F32">
        <w:fldChar w:fldCharType="begin"/>
      </w:r>
      <w:r w:rsidR="00514F32">
        <w:instrText xml:space="preserve"> ADDIN ZOTERO_ITEM CSL_CITATION {"citationID":"loVFHQRG","properties":{"unsorted":false,"formattedCitation":"(Chang et al. 2022)","plainCitation":"(Chang et al. 2022)","noteIndex":0},"citationItems":[{"id":243,"uris":["http://zotero.org/users/10854879/items/B5RW4P96"],"itemData":{"id":243,"type":"software","title":"shiny: Web Application Framework for R","URL":"https://CRAN.R-project.org/package=shiny","author":[{"family":"Chang","given":"Winston"},{"family":"Cheng","given":"Joe"},{"family":"Allaire","given":"J. J."},{"family":"Sievert","given":"Carson"},{"family":"Schloerke","given":"Barret"},{"family":"Xie","given":"Yihui"},{"family":"Allen","given":"Jeff"},{"family":"McPherson","given":"Jonathan"},{"family":"Dipert","given":"Alan"},{"family":"Borges","given":"Barbara"}],"issued":{"date-parts":[["2022"]]}}}],"schema":"https://github.com/citation-style-language/schema/raw/master/csl-citation.json"} </w:instrText>
      </w:r>
      <w:r w:rsidR="00514F32">
        <w:fldChar w:fldCharType="separate"/>
      </w:r>
      <w:r w:rsidR="00514F32">
        <w:rPr>
          <w:noProof/>
        </w:rPr>
        <w:t>(Chang et al. 2022)</w:t>
      </w:r>
      <w:r w:rsidR="00514F32">
        <w:fldChar w:fldCharType="end"/>
      </w:r>
      <w:r w:rsidRPr="00E66813">
        <w:t xml:space="preserve"> named the Woodcock Priority Area Siting Tool (W-PAST), to facilitate local woodcock management planning. </w:t>
      </w:r>
      <w:r w:rsidR="007750F3">
        <w:t xml:space="preserve">While the application was </w:t>
      </w:r>
      <w:r w:rsidR="00297A1C">
        <w:t xml:space="preserve">built around the breeding and migratory season layers which </w:t>
      </w:r>
      <w:r w:rsidR="00010D59">
        <w:t>we derived separately, a major feature of the application was the ability to merge these layers into blended predictive layers</w:t>
      </w:r>
      <w:r w:rsidR="00862BA7">
        <w:t xml:space="preserve">, which would allow managers to </w:t>
      </w:r>
      <w:r w:rsidR="00C36710">
        <w:t>make management decisions based on both layers simultaneously.</w:t>
      </w:r>
      <w:r w:rsidR="00010D59">
        <w:t xml:space="preserve"> </w:t>
      </w:r>
      <w:r w:rsidRPr="00E66813">
        <w:t xml:space="preserve">The </w:t>
      </w:r>
      <w:r w:rsidR="00832DE1">
        <w:t>application</w:t>
      </w:r>
      <w:r w:rsidRPr="00E66813">
        <w:t xml:space="preserve"> allowed users to assign weights to each seasonal habitat </w:t>
      </w:r>
      <w:r w:rsidRPr="00E66813">
        <w:lastRenderedPageBreak/>
        <w:t xml:space="preserve">suitability layer in 10% increments </w:t>
      </w:r>
      <w:r w:rsidR="004D1D3F">
        <w:t>(</w:t>
      </w:r>
      <w:r w:rsidR="004D1D3F" w:rsidRPr="0065592E">
        <w:rPr>
          <w:i/>
          <w:iCs/>
        </w:rPr>
        <w:t>e.g.,</w:t>
      </w:r>
      <w:r w:rsidR="004D1D3F">
        <w:t xml:space="preserve"> 70% breeding and 30% migratory)</w:t>
      </w:r>
      <w:r w:rsidRPr="00E66813">
        <w:t xml:space="preserve"> and then combined seasonal predictions into a single multi-season layer (Fig. </w:t>
      </w:r>
      <w:r w:rsidR="0055533A">
        <w:t>A1)</w:t>
      </w:r>
      <w:r w:rsidRPr="00E66813">
        <w:t>. The weighting was conducted on a pixel-by-pixel basis</w:t>
      </w:r>
      <w:r w:rsidRPr="00E66813">
        <w:rPr>
          <w:iCs/>
        </w:rPr>
        <w:t xml:space="preserve"> as a simple weighted average </w:t>
      </w:r>
      <w:r w:rsidRPr="00E66813">
        <w:t xml:space="preserve">where </w:t>
      </w:r>
      <w:r w:rsidRPr="00E66813">
        <w:rPr>
          <w:i/>
          <w:iCs/>
        </w:rPr>
        <w:t>p</w:t>
      </w:r>
      <w:r w:rsidRPr="00E66813">
        <w:rPr>
          <w:i/>
          <w:iCs/>
          <w:vertAlign w:val="subscript"/>
        </w:rPr>
        <w:t>w</w:t>
      </w:r>
      <w:r w:rsidRPr="00E66813">
        <w:t xml:space="preserve"> indicates the value of the weighted pixel value, </w:t>
      </w:r>
      <w:proofErr w:type="spellStart"/>
      <w:r w:rsidRPr="00E66813">
        <w:rPr>
          <w:i/>
          <w:iCs/>
        </w:rPr>
        <w:t>w</w:t>
      </w:r>
      <w:r w:rsidRPr="00E66813">
        <w:rPr>
          <w:i/>
          <w:iCs/>
          <w:vertAlign w:val="subscript"/>
        </w:rPr>
        <w:t>m</w:t>
      </w:r>
      <w:proofErr w:type="spellEnd"/>
      <w:r w:rsidRPr="00E66813">
        <w:t xml:space="preserve"> the weight of importance for migratory habitat, </w:t>
      </w:r>
      <w:proofErr w:type="spellStart"/>
      <w:r w:rsidRPr="00E66813">
        <w:rPr>
          <w:i/>
          <w:iCs/>
        </w:rPr>
        <w:t>w</w:t>
      </w:r>
      <w:r w:rsidRPr="00E66813">
        <w:rPr>
          <w:i/>
          <w:iCs/>
          <w:vertAlign w:val="subscript"/>
        </w:rPr>
        <w:t>b</w:t>
      </w:r>
      <w:proofErr w:type="spellEnd"/>
      <w:r w:rsidRPr="00E66813">
        <w:t xml:space="preserve"> the breeding season weight, </w:t>
      </w:r>
      <w:r w:rsidRPr="00E66813">
        <w:rPr>
          <w:i/>
          <w:iCs/>
        </w:rPr>
        <w:t>p</w:t>
      </w:r>
      <w:r w:rsidRPr="00E66813">
        <w:rPr>
          <w:i/>
          <w:iCs/>
          <w:vertAlign w:val="subscript"/>
        </w:rPr>
        <w:t>m</w:t>
      </w:r>
      <w:r w:rsidRPr="00E66813">
        <w:t xml:space="preserve"> the migratory pixel value, and </w:t>
      </w:r>
      <w:r w:rsidRPr="00E66813">
        <w:rPr>
          <w:i/>
          <w:iCs/>
        </w:rPr>
        <w:t>p</w:t>
      </w:r>
      <w:r w:rsidRPr="00E66813">
        <w:rPr>
          <w:i/>
          <w:iCs/>
          <w:vertAlign w:val="subscript"/>
        </w:rPr>
        <w:t>b</w:t>
      </w:r>
      <w:r w:rsidRPr="00E66813">
        <w:t xml:space="preserve"> the breeding season pixel value.</w:t>
      </w:r>
    </w:p>
    <w:p w14:paraId="44FE1E3C" w14:textId="77777777" w:rsidR="00DE6047" w:rsidRPr="00E66813" w:rsidRDefault="00000000" w:rsidP="00DE6047">
      <w:pPr>
        <w:spacing w:line="480" w:lineRule="auto"/>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w</m:t>
              </m:r>
            </m:sub>
          </m:sSub>
          <m:r>
            <w:rPr>
              <w:rFonts w:ascii="Cambria Math" w:hAnsi="Cambria Math"/>
              <w:szCs w:val="24"/>
            </w:rPr>
            <m:t>=</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m</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m</m:t>
                  </m:r>
                </m:sub>
              </m:sSub>
            </m:e>
          </m:d>
          <m:r>
            <w:rPr>
              <w:rFonts w:ascii="Cambria Math" w:hAnsi="Cambria Math"/>
              <w:szCs w:val="24"/>
            </w:rPr>
            <m:t xml:space="preserve">+ </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w</m:t>
                  </m:r>
                </m:e>
                <m:sub>
                  <m:r>
                    <w:rPr>
                      <w:rFonts w:ascii="Cambria Math" w:hAnsi="Cambria Math"/>
                      <w:szCs w:val="24"/>
                    </w:rPr>
                    <m:t>b</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b</m:t>
                  </m:r>
                </m:sub>
              </m:sSub>
            </m:e>
          </m:d>
        </m:oMath>
      </m:oMathPara>
    </w:p>
    <w:p w14:paraId="63DAC2E1" w14:textId="77777777" w:rsidR="00DE6047" w:rsidRPr="00E66813" w:rsidRDefault="00000000" w:rsidP="00DE6047">
      <w:pPr>
        <w:spacing w:line="480" w:lineRule="auto"/>
        <w:rPr>
          <w:szCs w:val="24"/>
        </w:rPr>
      </w:pPr>
      <m:oMathPara>
        <m:oMath>
          <m:sSub>
            <m:sSubPr>
              <m:ctrlPr>
                <w:rPr>
                  <w:rFonts w:ascii="Cambria Math" w:hAnsi="Cambria Math"/>
                  <w:i/>
                  <w:szCs w:val="24"/>
                </w:rPr>
              </m:ctrlPr>
            </m:sSubPr>
            <m:e>
              <m:r>
                <w:rPr>
                  <w:rFonts w:ascii="Cambria Math" w:hAnsi="Cambria Math"/>
                  <w:szCs w:val="24"/>
                </w:rPr>
                <m:t>w</m:t>
              </m:r>
            </m:e>
            <m:sub>
              <m:r>
                <w:rPr>
                  <w:rFonts w:ascii="Cambria Math" w:hAnsi="Cambria Math"/>
                  <w:szCs w:val="24"/>
                </w:rPr>
                <m:t>m</m:t>
              </m:r>
            </m:sub>
          </m:sSub>
          <m:r>
            <w:rPr>
              <w:rFonts w:ascii="Cambria Math" w:hAnsi="Cambria Math"/>
              <w:szCs w:val="24"/>
            </w:rPr>
            <m:t xml:space="preserve">=1- </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b</m:t>
              </m:r>
            </m:sub>
          </m:sSub>
        </m:oMath>
      </m:oMathPara>
    </w:p>
    <w:p w14:paraId="1F47CB13" w14:textId="1FFAD6DB" w:rsidR="003823F0" w:rsidRDefault="00DE6047" w:rsidP="00692065">
      <w:r w:rsidRPr="00E66813">
        <w:tab/>
      </w:r>
      <w:r w:rsidR="00666506">
        <w:t xml:space="preserve">In addition </w:t>
      </w:r>
      <w:r w:rsidR="004D1D3F">
        <w:t xml:space="preserve">to blended predictive layers, W-PAST included a suite of </w:t>
      </w:r>
      <w:r w:rsidR="00BA1145">
        <w:t>derived</w:t>
      </w:r>
      <w:r w:rsidR="00F52A8F">
        <w:t xml:space="preserve"> prioritization</w:t>
      </w:r>
      <w:r w:rsidR="00BA1145">
        <w:t xml:space="preserve"> metrics </w:t>
      </w:r>
      <w:r w:rsidR="009B3B68">
        <w:t xml:space="preserve">intended to allow the Pennsylvania Game Commission to compare </w:t>
      </w:r>
      <w:r w:rsidR="009B3B68" w:rsidRPr="00E66813">
        <w:t xml:space="preserve">habitat suitability among </w:t>
      </w:r>
      <w:r w:rsidR="009B3B68">
        <w:t xml:space="preserve">state-managed </w:t>
      </w:r>
      <w:proofErr w:type="spellStart"/>
      <w:r w:rsidR="009B3B68" w:rsidRPr="00E66813">
        <w:t>gamelands</w:t>
      </w:r>
      <w:proofErr w:type="spellEnd"/>
      <w:r w:rsidR="009B3B68">
        <w:t>.</w:t>
      </w:r>
      <w:r w:rsidR="00C704E4">
        <w:t xml:space="preserve"> </w:t>
      </w:r>
      <w:r w:rsidRPr="00E66813">
        <w:t xml:space="preserve">We built four comparison metrics into the </w:t>
      </w:r>
      <w:r w:rsidR="00C704E4">
        <w:t>application</w:t>
      </w:r>
      <w:r w:rsidRPr="00E66813">
        <w:t xml:space="preserve"> that were calculated using the weighted averages of the breeding and migratory season predictive layers: average pixel value, total habitat, % high quality, and % medium quality. Average pixel value was the arithmetic mean of all pixels within a state </w:t>
      </w:r>
      <w:proofErr w:type="spellStart"/>
      <w:r w:rsidRPr="00E66813">
        <w:t>gameland</w:t>
      </w:r>
      <w:proofErr w:type="spellEnd"/>
      <w:r w:rsidRPr="00E66813">
        <w:t xml:space="preserve">, which tended to favor small </w:t>
      </w:r>
      <w:proofErr w:type="spellStart"/>
      <w:r w:rsidRPr="00E66813">
        <w:t>gamelands</w:t>
      </w:r>
      <w:proofErr w:type="spellEnd"/>
      <w:r w:rsidRPr="00E66813">
        <w:t xml:space="preserve"> predominantly composed of woodcock habitat and was intended to demonstrate where a small amount of habitat management could increase local woodcock populations. Total habitat was average pixel value multiplied by the acreage of the </w:t>
      </w:r>
      <w:proofErr w:type="spellStart"/>
      <w:r w:rsidRPr="00E66813">
        <w:t>gameland</w:t>
      </w:r>
      <w:proofErr w:type="spellEnd"/>
      <w:r w:rsidRPr="00E66813">
        <w:t xml:space="preserve">, which favored larger </w:t>
      </w:r>
      <w:proofErr w:type="spellStart"/>
      <w:r w:rsidRPr="00E66813">
        <w:t>gamelands</w:t>
      </w:r>
      <w:proofErr w:type="spellEnd"/>
      <w:r w:rsidRPr="00E66813">
        <w:t xml:space="preserve"> that contained relatively large amounts of woodcock habitat in aggregate by virtue of their size. Total habitat could be used to determine which </w:t>
      </w:r>
      <w:proofErr w:type="spellStart"/>
      <w:r w:rsidRPr="00E66813">
        <w:t>gamelands</w:t>
      </w:r>
      <w:proofErr w:type="spellEnd"/>
      <w:r w:rsidRPr="00E66813">
        <w:t xml:space="preserve"> would provide the most habitat in aggregate if they were managed for woodcock. Percent high quality habitat was the percentage of cells within a </w:t>
      </w:r>
      <w:proofErr w:type="spellStart"/>
      <w:r w:rsidRPr="00E66813">
        <w:t>gameland</w:t>
      </w:r>
      <w:proofErr w:type="spellEnd"/>
      <w:r w:rsidRPr="00E66813">
        <w:t xml:space="preserve"> that had values greater than the 33rd percentile of all pixel values in the state, and percent medium quality was the percentage of cells falling between the 66th and 33rd percentile. These percentile-based metrics allowed users to quantify the proportion of a </w:t>
      </w:r>
      <w:proofErr w:type="spellStart"/>
      <w:r w:rsidRPr="00E66813">
        <w:t>gameland</w:t>
      </w:r>
      <w:proofErr w:type="spellEnd"/>
      <w:r w:rsidRPr="00E66813">
        <w:t xml:space="preserve"> which might be suitable for woodcock management. By multiplying the percent high or medium quality by the </w:t>
      </w:r>
      <w:proofErr w:type="spellStart"/>
      <w:r w:rsidRPr="00E66813">
        <w:t>gameland</w:t>
      </w:r>
      <w:proofErr w:type="spellEnd"/>
      <w:r w:rsidRPr="00E66813">
        <w:t xml:space="preserve"> acreage (also provided in the tool), the user could also derive the acreage in each </w:t>
      </w:r>
      <w:proofErr w:type="spellStart"/>
      <w:r w:rsidRPr="00E66813">
        <w:t>gameland</w:t>
      </w:r>
      <w:proofErr w:type="spellEnd"/>
      <w:r w:rsidRPr="00E66813">
        <w:t xml:space="preserve"> that could be managed for woodcock effectively. Further instructions for using these metrics in management are included in a user manual, publicly available with the SDSS at </w:t>
      </w:r>
      <w:hyperlink r:id="rId4" w:history="1">
        <w:r w:rsidR="006438C3" w:rsidRPr="00DE7C9E">
          <w:rPr>
            <w:rStyle w:val="Hyperlink"/>
          </w:rPr>
          <w:t>https://woodcock.shinyapps.io/W-PAST2/</w:t>
        </w:r>
      </w:hyperlink>
      <w:r w:rsidRPr="00E66813">
        <w:t>.</w:t>
      </w:r>
    </w:p>
    <w:p w14:paraId="7164CE9D" w14:textId="77777777" w:rsidR="006438C3" w:rsidRDefault="006438C3" w:rsidP="006438C3">
      <w:r>
        <w:rPr>
          <w:noProof/>
        </w:rPr>
        <w:lastRenderedPageBreak/>
        <w:drawing>
          <wp:inline distT="0" distB="0" distL="0" distR="0" wp14:anchorId="06ACC0D9" wp14:editId="399A5077">
            <wp:extent cx="5943600" cy="3175000"/>
            <wp:effectExtent l="0" t="0" r="0" b="0"/>
            <wp:docPr id="1129620289" name="Picture 1" descr="A diagram of different layer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20289" name="Picture 1" descr="A diagram of different layers of la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0CDE883A" w14:textId="4462FCA2" w:rsidR="006438C3" w:rsidRPr="00692065" w:rsidRDefault="006438C3" w:rsidP="00692065">
      <w:r w:rsidRPr="00E66813">
        <w:t xml:space="preserve">Figure </w:t>
      </w:r>
      <w:r>
        <w:t>A1</w:t>
      </w:r>
      <w:r w:rsidRPr="00E66813">
        <w:t xml:space="preserve">. Conceptual diagram of user decision options in the Woodcock Priority Area Siting Tool (W-PAST). Users can choose the weighting of migratory and breeding season habitat at 10% increments based on management priorities. The resulting weights are used to generate a </w:t>
      </w:r>
      <w:r>
        <w:t>blended</w:t>
      </w:r>
      <w:r w:rsidRPr="00E66813">
        <w:t xml:space="preserve"> predictive layer and </w:t>
      </w:r>
      <w:r>
        <w:t>derived</w:t>
      </w:r>
      <w:r w:rsidRPr="00E66813">
        <w:t xml:space="preserve"> </w:t>
      </w:r>
      <w:r>
        <w:t xml:space="preserve">prioritization </w:t>
      </w:r>
      <w:r w:rsidRPr="00E66813">
        <w:t xml:space="preserve">metrics, which allow the user to compare the suitability of </w:t>
      </w:r>
      <w:proofErr w:type="spellStart"/>
      <w:r w:rsidRPr="00E66813">
        <w:t>gamelands</w:t>
      </w:r>
      <w:proofErr w:type="spellEnd"/>
      <w:r w:rsidRPr="00E66813">
        <w:t xml:space="preserve"> for woodcock management. </w:t>
      </w:r>
    </w:p>
    <w:p w14:paraId="5E188E57" w14:textId="4D1BCA72" w:rsidR="00C16AF1" w:rsidRPr="00C66300" w:rsidRDefault="00C16AF1" w:rsidP="00C66300">
      <w:pPr>
        <w:pStyle w:val="Bibliography"/>
        <w:rPr>
          <w:rFonts w:cs="Times New Roman"/>
          <w:b/>
          <w:bCs/>
          <w:szCs w:val="24"/>
        </w:rPr>
      </w:pPr>
      <w:r w:rsidRPr="005442D6">
        <w:rPr>
          <w:rFonts w:cs="Times New Roman"/>
          <w:b/>
          <w:bCs/>
          <w:szCs w:val="24"/>
        </w:rPr>
        <w:t>References</w:t>
      </w:r>
    </w:p>
    <w:p w14:paraId="5E450A00" w14:textId="77777777" w:rsidR="00DE6BB0" w:rsidRPr="00DE6BB0" w:rsidRDefault="00C66300" w:rsidP="00DE6BB0">
      <w:pPr>
        <w:pStyle w:val="Bibliography"/>
        <w:rPr>
          <w:rFonts w:cs="Times New Roman"/>
          <w:kern w:val="0"/>
          <w:szCs w:val="24"/>
        </w:rPr>
      </w:pPr>
      <w:r>
        <w:fldChar w:fldCharType="begin"/>
      </w:r>
      <w:r w:rsidR="000A0867">
        <w:instrText xml:space="preserve"> ADDIN ZOTERO_BIBL {"uncited":[],"omitted":[],"custom":[]} CSL_BIBLIOGRAPHY </w:instrText>
      </w:r>
      <w:r>
        <w:fldChar w:fldCharType="separate"/>
      </w:r>
      <w:proofErr w:type="spellStart"/>
      <w:r w:rsidR="00DE6BB0" w:rsidRPr="00DE6BB0">
        <w:rPr>
          <w:rFonts w:cs="Times New Roman"/>
          <w:kern w:val="0"/>
          <w:szCs w:val="24"/>
        </w:rPr>
        <w:t>Breiman</w:t>
      </w:r>
      <w:proofErr w:type="spellEnd"/>
      <w:r w:rsidR="00DE6BB0" w:rsidRPr="00DE6BB0">
        <w:rPr>
          <w:rFonts w:cs="Times New Roman"/>
          <w:kern w:val="0"/>
          <w:szCs w:val="24"/>
        </w:rPr>
        <w:t xml:space="preserve"> L. 2001. Random forests. Machine learning. 45:5–32.</w:t>
      </w:r>
    </w:p>
    <w:p w14:paraId="199D7D0A"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Chang W, Cheng J, Allaire JJ, Sievert C, </w:t>
      </w:r>
      <w:proofErr w:type="spellStart"/>
      <w:r w:rsidRPr="00DE6BB0">
        <w:rPr>
          <w:rFonts w:cs="Times New Roman"/>
          <w:kern w:val="0"/>
          <w:szCs w:val="24"/>
        </w:rPr>
        <w:t>Schloerke</w:t>
      </w:r>
      <w:proofErr w:type="spellEnd"/>
      <w:r w:rsidRPr="00DE6BB0">
        <w:rPr>
          <w:rFonts w:cs="Times New Roman"/>
          <w:kern w:val="0"/>
          <w:szCs w:val="24"/>
        </w:rPr>
        <w:t xml:space="preserve"> B, Xie Y, Allen J, McPherson J, Dipert A, Borges B. 2022. shiny: Web Application Framework for R. https://CRAN.R-project.org/package=shiny.</w:t>
      </w:r>
    </w:p>
    <w:p w14:paraId="49D2B6B5"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Elith J, </w:t>
      </w:r>
      <w:proofErr w:type="spellStart"/>
      <w:r w:rsidRPr="00DE6BB0">
        <w:rPr>
          <w:rFonts w:cs="Times New Roman"/>
          <w:kern w:val="0"/>
          <w:szCs w:val="24"/>
        </w:rPr>
        <w:t>Leathwick</w:t>
      </w:r>
      <w:proofErr w:type="spellEnd"/>
      <w:r w:rsidRPr="00DE6BB0">
        <w:rPr>
          <w:rFonts w:cs="Times New Roman"/>
          <w:kern w:val="0"/>
          <w:szCs w:val="24"/>
        </w:rPr>
        <w:t xml:space="preserve"> JR, Hastie T. 2008. A working guide to boosted regression trees. Journal of animal ecology. 77(4):802–813.</w:t>
      </w:r>
    </w:p>
    <w:p w14:paraId="33B821EF"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Hirzel AH, Le Lay G, Helfer V, Randin C, </w:t>
      </w:r>
      <w:proofErr w:type="spellStart"/>
      <w:r w:rsidRPr="00DE6BB0">
        <w:rPr>
          <w:rFonts w:cs="Times New Roman"/>
          <w:kern w:val="0"/>
          <w:szCs w:val="24"/>
        </w:rPr>
        <w:t>Guisan</w:t>
      </w:r>
      <w:proofErr w:type="spellEnd"/>
      <w:r w:rsidRPr="00DE6BB0">
        <w:rPr>
          <w:rFonts w:cs="Times New Roman"/>
          <w:kern w:val="0"/>
          <w:szCs w:val="24"/>
        </w:rPr>
        <w:t xml:space="preserve"> A. 2006. Evaluating the ability of habitat suitability models to predict species presences. Ecological modelling. 199(2):142–152.</w:t>
      </w:r>
    </w:p>
    <w:p w14:paraId="39FAA20B"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Leroy B, Delsol R, </w:t>
      </w:r>
      <w:proofErr w:type="spellStart"/>
      <w:r w:rsidRPr="00DE6BB0">
        <w:rPr>
          <w:rFonts w:cs="Times New Roman"/>
          <w:kern w:val="0"/>
          <w:szCs w:val="24"/>
        </w:rPr>
        <w:t>Hugueny</w:t>
      </w:r>
      <w:proofErr w:type="spellEnd"/>
      <w:r w:rsidRPr="00DE6BB0">
        <w:rPr>
          <w:rFonts w:cs="Times New Roman"/>
          <w:kern w:val="0"/>
          <w:szCs w:val="24"/>
        </w:rPr>
        <w:t xml:space="preserve"> B, Meynard CN, Barhoumi C, Barbet‐Massin M, Bellard C. 2018. Without quality presence–absence data, discrimination metrics such as </w:t>
      </w:r>
      <w:r w:rsidRPr="00DE6BB0">
        <w:rPr>
          <w:rFonts w:cs="Times New Roman"/>
          <w:smallCaps/>
          <w:kern w:val="0"/>
          <w:szCs w:val="24"/>
        </w:rPr>
        <w:t>TSS</w:t>
      </w:r>
      <w:r w:rsidRPr="00DE6BB0">
        <w:rPr>
          <w:rFonts w:cs="Times New Roman"/>
          <w:kern w:val="0"/>
          <w:szCs w:val="24"/>
        </w:rPr>
        <w:t xml:space="preserve"> can be misleading measures of model performance. Journal of Biogeography. 45(9):1994–2002. doi:10.1111/jbi.13402.</w:t>
      </w:r>
    </w:p>
    <w:p w14:paraId="5F276021"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Liaw A, Wiener M. 2002. Classification and Regression by </w:t>
      </w:r>
      <w:proofErr w:type="spellStart"/>
      <w:r w:rsidRPr="00DE6BB0">
        <w:rPr>
          <w:rFonts w:cs="Times New Roman"/>
          <w:kern w:val="0"/>
          <w:szCs w:val="24"/>
        </w:rPr>
        <w:t>randomForest</w:t>
      </w:r>
      <w:proofErr w:type="spellEnd"/>
      <w:r w:rsidRPr="00DE6BB0">
        <w:rPr>
          <w:rFonts w:cs="Times New Roman"/>
          <w:kern w:val="0"/>
          <w:szCs w:val="24"/>
        </w:rPr>
        <w:t>. R News. 2(3):18–22.</w:t>
      </w:r>
    </w:p>
    <w:p w14:paraId="049FAD8E" w14:textId="77777777" w:rsidR="00DE6BB0" w:rsidRPr="00DE6BB0" w:rsidRDefault="00DE6BB0" w:rsidP="00DE6BB0">
      <w:pPr>
        <w:pStyle w:val="Bibliography"/>
        <w:rPr>
          <w:rFonts w:cs="Times New Roman"/>
          <w:kern w:val="0"/>
          <w:szCs w:val="24"/>
        </w:rPr>
      </w:pPr>
      <w:r w:rsidRPr="00DE6BB0">
        <w:rPr>
          <w:rFonts w:cs="Times New Roman"/>
          <w:kern w:val="0"/>
          <w:szCs w:val="24"/>
        </w:rPr>
        <w:lastRenderedPageBreak/>
        <w:t xml:space="preserve">Mason SJ, Graham NE. 2002. Areas beneath the relative operating characteristics (ROC) and relative operating levels (ROL) curves: Statistical significance and interpretation. Quart J Royal </w:t>
      </w:r>
      <w:proofErr w:type="spellStart"/>
      <w:r w:rsidRPr="00DE6BB0">
        <w:rPr>
          <w:rFonts w:cs="Times New Roman"/>
          <w:kern w:val="0"/>
          <w:szCs w:val="24"/>
        </w:rPr>
        <w:t>Meteoro</w:t>
      </w:r>
      <w:proofErr w:type="spellEnd"/>
      <w:r w:rsidRPr="00DE6BB0">
        <w:rPr>
          <w:rFonts w:cs="Times New Roman"/>
          <w:kern w:val="0"/>
          <w:szCs w:val="24"/>
        </w:rPr>
        <w:t xml:space="preserve"> Soc. 128(584):2145–2166. doi:10.1256/003590002320603584.</w:t>
      </w:r>
    </w:p>
    <w:p w14:paraId="7CD1D2B6"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Phillips S. 2021. </w:t>
      </w:r>
      <w:proofErr w:type="spellStart"/>
      <w:r w:rsidRPr="00DE6BB0">
        <w:rPr>
          <w:rFonts w:cs="Times New Roman"/>
          <w:kern w:val="0"/>
          <w:szCs w:val="24"/>
        </w:rPr>
        <w:t>maxnet</w:t>
      </w:r>
      <w:proofErr w:type="spellEnd"/>
      <w:r w:rsidRPr="00DE6BB0">
        <w:rPr>
          <w:rFonts w:cs="Times New Roman"/>
          <w:kern w:val="0"/>
          <w:szCs w:val="24"/>
        </w:rPr>
        <w:t>: Fitting “Maxent” Species Distribution Models with “</w:t>
      </w:r>
      <w:proofErr w:type="spellStart"/>
      <w:r w:rsidRPr="00DE6BB0">
        <w:rPr>
          <w:rFonts w:cs="Times New Roman"/>
          <w:kern w:val="0"/>
          <w:szCs w:val="24"/>
        </w:rPr>
        <w:t>glmnet</w:t>
      </w:r>
      <w:proofErr w:type="spellEnd"/>
      <w:r w:rsidRPr="00DE6BB0">
        <w:rPr>
          <w:rFonts w:cs="Times New Roman"/>
          <w:kern w:val="0"/>
          <w:szCs w:val="24"/>
        </w:rPr>
        <w:t>.” https://github.com/mrmaxent/maxnet.</w:t>
      </w:r>
    </w:p>
    <w:p w14:paraId="188D7DD1" w14:textId="77777777" w:rsidR="00DE6BB0" w:rsidRPr="00DE6BB0" w:rsidRDefault="00DE6BB0" w:rsidP="00DE6BB0">
      <w:pPr>
        <w:pStyle w:val="Bibliography"/>
        <w:rPr>
          <w:rFonts w:cs="Times New Roman"/>
          <w:kern w:val="0"/>
          <w:szCs w:val="24"/>
        </w:rPr>
      </w:pPr>
      <w:r w:rsidRPr="00DE6BB0">
        <w:rPr>
          <w:rFonts w:cs="Times New Roman"/>
          <w:kern w:val="0"/>
          <w:szCs w:val="24"/>
        </w:rPr>
        <w:t>R Core Team. 2025. R: A Language and Environment for Statistical Computing. Vienna, Austria: R Foundation for Statistical Computing. https://www.R-project.org/.</w:t>
      </w:r>
    </w:p>
    <w:p w14:paraId="07206B68"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Ridgeway G, Developers GBM. 2026. </w:t>
      </w:r>
      <w:proofErr w:type="spellStart"/>
      <w:r w:rsidRPr="00DE6BB0">
        <w:rPr>
          <w:rFonts w:cs="Times New Roman"/>
          <w:kern w:val="0"/>
          <w:szCs w:val="24"/>
        </w:rPr>
        <w:t>gbm</w:t>
      </w:r>
      <w:proofErr w:type="spellEnd"/>
      <w:r w:rsidRPr="00DE6BB0">
        <w:rPr>
          <w:rFonts w:cs="Times New Roman"/>
          <w:kern w:val="0"/>
          <w:szCs w:val="24"/>
        </w:rPr>
        <w:t>: Generalized Boosted Regression Models. https://CRAN.R-project.org/package=gbm.</w:t>
      </w:r>
    </w:p>
    <w:p w14:paraId="01C53C44" w14:textId="77777777" w:rsidR="00DE6BB0" w:rsidRPr="00DE6BB0" w:rsidRDefault="00DE6BB0" w:rsidP="00DE6BB0">
      <w:pPr>
        <w:pStyle w:val="Bibliography"/>
        <w:rPr>
          <w:rFonts w:cs="Times New Roman"/>
          <w:kern w:val="0"/>
          <w:szCs w:val="24"/>
        </w:rPr>
      </w:pPr>
      <w:r w:rsidRPr="00DE6BB0">
        <w:rPr>
          <w:rFonts w:cs="Times New Roman"/>
          <w:kern w:val="0"/>
          <w:szCs w:val="24"/>
        </w:rPr>
        <w:t xml:space="preserve">Vignali S, Barras AG, </w:t>
      </w:r>
      <w:proofErr w:type="spellStart"/>
      <w:r w:rsidRPr="00DE6BB0">
        <w:rPr>
          <w:rFonts w:cs="Times New Roman"/>
          <w:kern w:val="0"/>
          <w:szCs w:val="24"/>
        </w:rPr>
        <w:t>Arlettaz</w:t>
      </w:r>
      <w:proofErr w:type="spellEnd"/>
      <w:r w:rsidRPr="00DE6BB0">
        <w:rPr>
          <w:rFonts w:cs="Times New Roman"/>
          <w:kern w:val="0"/>
          <w:szCs w:val="24"/>
        </w:rPr>
        <w:t xml:space="preserve"> R, </w:t>
      </w:r>
      <w:proofErr w:type="spellStart"/>
      <w:r w:rsidRPr="00DE6BB0">
        <w:rPr>
          <w:rFonts w:cs="Times New Roman"/>
          <w:kern w:val="0"/>
          <w:szCs w:val="24"/>
        </w:rPr>
        <w:t>Braunisch</w:t>
      </w:r>
      <w:proofErr w:type="spellEnd"/>
      <w:r w:rsidRPr="00DE6BB0">
        <w:rPr>
          <w:rFonts w:cs="Times New Roman"/>
          <w:kern w:val="0"/>
          <w:szCs w:val="24"/>
        </w:rPr>
        <w:t xml:space="preserve"> V. 2020. </w:t>
      </w:r>
      <w:proofErr w:type="spellStart"/>
      <w:r w:rsidRPr="00DE6BB0">
        <w:rPr>
          <w:rFonts w:cs="Times New Roman"/>
          <w:kern w:val="0"/>
          <w:szCs w:val="24"/>
        </w:rPr>
        <w:t>SDMtune</w:t>
      </w:r>
      <w:proofErr w:type="spellEnd"/>
      <w:r w:rsidRPr="00DE6BB0">
        <w:rPr>
          <w:rFonts w:cs="Times New Roman"/>
          <w:kern w:val="0"/>
          <w:szCs w:val="24"/>
        </w:rPr>
        <w:t>: An R package to tune and evaluate species distribution models. Ecology and Evolution. 10(20):11488–11506. doi:10.1002/ece3.6786.</w:t>
      </w:r>
    </w:p>
    <w:p w14:paraId="421E45E7" w14:textId="06A5BB1F" w:rsidR="00C16AF1" w:rsidRPr="005442D6" w:rsidRDefault="00C66300" w:rsidP="00DE6BB0">
      <w:pPr>
        <w:pStyle w:val="Bibliography"/>
        <w:rPr>
          <w:rFonts w:cs="Times New Roman"/>
          <w:b/>
          <w:bCs/>
          <w:szCs w:val="24"/>
        </w:rPr>
      </w:pPr>
      <w:r>
        <w:rPr>
          <w:rFonts w:cs="Times New Roman"/>
          <w:b/>
          <w:bCs/>
          <w:szCs w:val="24"/>
        </w:rPr>
        <w:fldChar w:fldCharType="end"/>
      </w:r>
    </w:p>
    <w:sectPr w:rsidR="00C16AF1" w:rsidRPr="00544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2D"/>
    <w:rsid w:val="0001078F"/>
    <w:rsid w:val="00010D59"/>
    <w:rsid w:val="0006007F"/>
    <w:rsid w:val="000A0867"/>
    <w:rsid w:val="000A7E30"/>
    <w:rsid w:val="000E71C5"/>
    <w:rsid w:val="00101E49"/>
    <w:rsid w:val="00103EBA"/>
    <w:rsid w:val="00134AFA"/>
    <w:rsid w:val="00143AA7"/>
    <w:rsid w:val="00145C70"/>
    <w:rsid w:val="00191678"/>
    <w:rsid w:val="001A3CC7"/>
    <w:rsid w:val="001B2C13"/>
    <w:rsid w:val="001D5E3E"/>
    <w:rsid w:val="001F02A3"/>
    <w:rsid w:val="00222B5A"/>
    <w:rsid w:val="00241D5A"/>
    <w:rsid w:val="00244237"/>
    <w:rsid w:val="00245BCC"/>
    <w:rsid w:val="00251D89"/>
    <w:rsid w:val="00297A1C"/>
    <w:rsid w:val="002B2792"/>
    <w:rsid w:val="002B308A"/>
    <w:rsid w:val="002F2601"/>
    <w:rsid w:val="003052F9"/>
    <w:rsid w:val="00321FEC"/>
    <w:rsid w:val="003708A9"/>
    <w:rsid w:val="003823F0"/>
    <w:rsid w:val="003B55FB"/>
    <w:rsid w:val="003D09F6"/>
    <w:rsid w:val="003D3E4B"/>
    <w:rsid w:val="003D6FC6"/>
    <w:rsid w:val="003E0949"/>
    <w:rsid w:val="004246C1"/>
    <w:rsid w:val="004315D8"/>
    <w:rsid w:val="00443B87"/>
    <w:rsid w:val="004832B2"/>
    <w:rsid w:val="00487F1F"/>
    <w:rsid w:val="00490C9C"/>
    <w:rsid w:val="004D1D3F"/>
    <w:rsid w:val="004E2A24"/>
    <w:rsid w:val="004E4F30"/>
    <w:rsid w:val="005147E1"/>
    <w:rsid w:val="00514F32"/>
    <w:rsid w:val="005442D6"/>
    <w:rsid w:val="0055533A"/>
    <w:rsid w:val="00595D94"/>
    <w:rsid w:val="005B0C96"/>
    <w:rsid w:val="005C4BA2"/>
    <w:rsid w:val="005E02E0"/>
    <w:rsid w:val="005E57F5"/>
    <w:rsid w:val="006331D7"/>
    <w:rsid w:val="006438C3"/>
    <w:rsid w:val="00651CB6"/>
    <w:rsid w:val="00666506"/>
    <w:rsid w:val="0068723D"/>
    <w:rsid w:val="00692065"/>
    <w:rsid w:val="006C55DC"/>
    <w:rsid w:val="006D6C0E"/>
    <w:rsid w:val="006E5304"/>
    <w:rsid w:val="00733687"/>
    <w:rsid w:val="007750F3"/>
    <w:rsid w:val="007B6386"/>
    <w:rsid w:val="007D4E34"/>
    <w:rsid w:val="007D5DB3"/>
    <w:rsid w:val="00826EBC"/>
    <w:rsid w:val="00832DE1"/>
    <w:rsid w:val="00862BA7"/>
    <w:rsid w:val="00864B35"/>
    <w:rsid w:val="008711E6"/>
    <w:rsid w:val="008A5334"/>
    <w:rsid w:val="008C6677"/>
    <w:rsid w:val="008E4BCA"/>
    <w:rsid w:val="008F5C2D"/>
    <w:rsid w:val="008F7795"/>
    <w:rsid w:val="00906250"/>
    <w:rsid w:val="00912235"/>
    <w:rsid w:val="009173CB"/>
    <w:rsid w:val="00922E5C"/>
    <w:rsid w:val="00926A6A"/>
    <w:rsid w:val="00940ED2"/>
    <w:rsid w:val="00957615"/>
    <w:rsid w:val="00967202"/>
    <w:rsid w:val="009746DA"/>
    <w:rsid w:val="009B1FFA"/>
    <w:rsid w:val="009B3B68"/>
    <w:rsid w:val="009B5AF2"/>
    <w:rsid w:val="009C1F2A"/>
    <w:rsid w:val="009D0E4E"/>
    <w:rsid w:val="00A24652"/>
    <w:rsid w:val="00A5217B"/>
    <w:rsid w:val="00A57DC7"/>
    <w:rsid w:val="00A64898"/>
    <w:rsid w:val="00A76195"/>
    <w:rsid w:val="00A860FD"/>
    <w:rsid w:val="00A97BD9"/>
    <w:rsid w:val="00AB6DB4"/>
    <w:rsid w:val="00AD6661"/>
    <w:rsid w:val="00AE036E"/>
    <w:rsid w:val="00AE29FD"/>
    <w:rsid w:val="00AE3591"/>
    <w:rsid w:val="00AE510D"/>
    <w:rsid w:val="00AF2304"/>
    <w:rsid w:val="00AF3000"/>
    <w:rsid w:val="00B00401"/>
    <w:rsid w:val="00B24787"/>
    <w:rsid w:val="00B471B3"/>
    <w:rsid w:val="00B510CE"/>
    <w:rsid w:val="00B76ECB"/>
    <w:rsid w:val="00BA04A9"/>
    <w:rsid w:val="00BA1145"/>
    <w:rsid w:val="00BD479B"/>
    <w:rsid w:val="00C0567F"/>
    <w:rsid w:val="00C077A3"/>
    <w:rsid w:val="00C12014"/>
    <w:rsid w:val="00C124D0"/>
    <w:rsid w:val="00C16AF1"/>
    <w:rsid w:val="00C33898"/>
    <w:rsid w:val="00C36710"/>
    <w:rsid w:val="00C66300"/>
    <w:rsid w:val="00C704E4"/>
    <w:rsid w:val="00C747D2"/>
    <w:rsid w:val="00CC49E2"/>
    <w:rsid w:val="00CC5EEF"/>
    <w:rsid w:val="00CE0F48"/>
    <w:rsid w:val="00D24A86"/>
    <w:rsid w:val="00D27600"/>
    <w:rsid w:val="00D8702E"/>
    <w:rsid w:val="00D967A7"/>
    <w:rsid w:val="00D97E0E"/>
    <w:rsid w:val="00DD1C6A"/>
    <w:rsid w:val="00DD684D"/>
    <w:rsid w:val="00DE6047"/>
    <w:rsid w:val="00DE6BB0"/>
    <w:rsid w:val="00E1615E"/>
    <w:rsid w:val="00E179AD"/>
    <w:rsid w:val="00E27405"/>
    <w:rsid w:val="00E31D6A"/>
    <w:rsid w:val="00E42DDE"/>
    <w:rsid w:val="00E454B0"/>
    <w:rsid w:val="00E47FD4"/>
    <w:rsid w:val="00E5650B"/>
    <w:rsid w:val="00E648B1"/>
    <w:rsid w:val="00EC1401"/>
    <w:rsid w:val="00EC1635"/>
    <w:rsid w:val="00EC63F8"/>
    <w:rsid w:val="00F26962"/>
    <w:rsid w:val="00F3571B"/>
    <w:rsid w:val="00F52A8F"/>
    <w:rsid w:val="00F60C2E"/>
    <w:rsid w:val="00F730C8"/>
    <w:rsid w:val="00FA136E"/>
    <w:rsid w:val="00FA6D0A"/>
    <w:rsid w:val="00FA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FFF4"/>
  <w15:chartTrackingRefBased/>
  <w15:docId w15:val="{39258819-77C2-4DD2-85D2-C5D5A4AE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BB0"/>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5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5C70"/>
    <w:pPr>
      <w:ind w:left="720"/>
      <w:contextualSpacing/>
    </w:pPr>
  </w:style>
  <w:style w:type="paragraph" w:styleId="Bibliography">
    <w:name w:val="Bibliography"/>
    <w:basedOn w:val="Normal"/>
    <w:next w:val="Normal"/>
    <w:uiPriority w:val="37"/>
    <w:unhideWhenUsed/>
    <w:rsid w:val="00C16AF1"/>
    <w:pPr>
      <w:spacing w:after="240" w:line="240" w:lineRule="auto"/>
    </w:pPr>
  </w:style>
  <w:style w:type="character" w:styleId="CommentReference">
    <w:name w:val="annotation reference"/>
    <w:uiPriority w:val="99"/>
    <w:semiHidden/>
    <w:unhideWhenUsed/>
    <w:rsid w:val="007D4E34"/>
    <w:rPr>
      <w:sz w:val="16"/>
      <w:szCs w:val="16"/>
    </w:rPr>
  </w:style>
  <w:style w:type="paragraph" w:customStyle="1" w:styleId="Table">
    <w:name w:val="Table"/>
    <w:basedOn w:val="Normal"/>
    <w:qFormat/>
    <w:rsid w:val="001A3CC7"/>
    <w:pPr>
      <w:spacing w:after="120" w:line="360" w:lineRule="auto"/>
    </w:pPr>
    <w:rPr>
      <w:bCs/>
      <w:szCs w:val="24"/>
    </w:rPr>
  </w:style>
  <w:style w:type="paragraph" w:styleId="CommentText">
    <w:name w:val="annotation text"/>
    <w:basedOn w:val="Normal"/>
    <w:link w:val="CommentTextChar"/>
    <w:uiPriority w:val="99"/>
    <w:semiHidden/>
    <w:unhideWhenUsed/>
    <w:rsid w:val="009173CB"/>
    <w:pPr>
      <w:spacing w:line="240" w:lineRule="auto"/>
    </w:pPr>
    <w:rPr>
      <w:sz w:val="20"/>
      <w:szCs w:val="20"/>
    </w:rPr>
  </w:style>
  <w:style w:type="character" w:customStyle="1" w:styleId="CommentTextChar">
    <w:name w:val="Comment Text Char"/>
    <w:basedOn w:val="DefaultParagraphFont"/>
    <w:link w:val="CommentText"/>
    <w:uiPriority w:val="99"/>
    <w:semiHidden/>
    <w:rsid w:val="009173C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173CB"/>
    <w:rPr>
      <w:b/>
      <w:bCs/>
    </w:rPr>
  </w:style>
  <w:style w:type="character" w:customStyle="1" w:styleId="CommentSubjectChar">
    <w:name w:val="Comment Subject Char"/>
    <w:basedOn w:val="CommentTextChar"/>
    <w:link w:val="CommentSubject"/>
    <w:uiPriority w:val="99"/>
    <w:semiHidden/>
    <w:rsid w:val="009173CB"/>
    <w:rPr>
      <w:rFonts w:ascii="Times New Roman" w:hAnsi="Times New Roman"/>
      <w:b/>
      <w:bCs/>
      <w:sz w:val="20"/>
      <w:szCs w:val="20"/>
    </w:rPr>
  </w:style>
  <w:style w:type="character" w:styleId="Hyperlink">
    <w:name w:val="Hyperlink"/>
    <w:basedOn w:val="DefaultParagraphFont"/>
    <w:uiPriority w:val="99"/>
    <w:unhideWhenUsed/>
    <w:rsid w:val="006438C3"/>
    <w:rPr>
      <w:color w:val="0563C1" w:themeColor="hyperlink"/>
      <w:u w:val="single"/>
    </w:rPr>
  </w:style>
  <w:style w:type="character" w:styleId="UnresolvedMention">
    <w:name w:val="Unresolved Mention"/>
    <w:basedOn w:val="DefaultParagraphFont"/>
    <w:uiPriority w:val="99"/>
    <w:semiHidden/>
    <w:unhideWhenUsed/>
    <w:rsid w:val="00643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tif"/><Relationship Id="rId4" Type="http://schemas.openxmlformats.org/officeDocument/2006/relationships/hyperlink" Target="https://woodcock.shinyapps.io/W-PAS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4215</Words>
  <Characters>24030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Berigan</dc:creator>
  <cp:keywords/>
  <dc:description/>
  <cp:lastModifiedBy>Liam Berigan</cp:lastModifiedBy>
  <cp:revision>149</cp:revision>
  <dcterms:created xsi:type="dcterms:W3CDTF">2023-04-21T12:56:00Z</dcterms:created>
  <dcterms:modified xsi:type="dcterms:W3CDTF">2026-06-24T20:04:00Z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id="kguYqXW0"/&gt;&lt;style id="http://www.zotero.org/styles/cse-name-year-8th-edition" hasBibliography="1" bibliographyStyleHasBeenSet="1"/&gt;&lt;prefs&gt;&lt;pref name="fieldType" value="Field"/&gt;&lt;/prefs&gt;&lt;/data&gt;</vt:lpwstr>
  </property>
</Properties>
</file>