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29A3E" w14:textId="235D9219" w:rsidR="00EC1635" w:rsidRDefault="00EC63F8" w:rsidP="00EC1635">
      <w:pPr>
        <w:spacing w:line="480" w:lineRule="auto"/>
        <w:rPr>
          <w:rFonts w:cs="Times New Roman"/>
          <w:b/>
          <w:bCs/>
          <w:szCs w:val="24"/>
        </w:rPr>
      </w:pPr>
      <w:commentRangeStart w:id="0"/>
      <w:r w:rsidRPr="005442D6">
        <w:rPr>
          <w:rFonts w:cs="Times New Roman"/>
          <w:b/>
          <w:bCs/>
          <w:szCs w:val="24"/>
        </w:rPr>
        <w:t xml:space="preserve">Appendix </w:t>
      </w:r>
      <w:r w:rsidR="00BA04A9">
        <w:rPr>
          <w:rFonts w:cs="Times New Roman"/>
          <w:b/>
          <w:bCs/>
          <w:szCs w:val="24"/>
        </w:rPr>
        <w:t>1</w:t>
      </w:r>
      <w:r w:rsidRPr="005442D6">
        <w:rPr>
          <w:rFonts w:cs="Times New Roman"/>
          <w:b/>
          <w:bCs/>
          <w:szCs w:val="24"/>
        </w:rPr>
        <w:t>.</w:t>
      </w:r>
      <w:r w:rsidR="00AF2304">
        <w:rPr>
          <w:rFonts w:cs="Times New Roman"/>
          <w:b/>
          <w:bCs/>
          <w:szCs w:val="24"/>
        </w:rPr>
        <w:t xml:space="preserve"> Pilot evaluation of species distribution modeling frameworks.</w:t>
      </w:r>
      <w:commentRangeEnd w:id="0"/>
      <w:r w:rsidR="009173CB">
        <w:rPr>
          <w:rStyle w:val="CommentReference"/>
        </w:rPr>
        <w:commentReference w:id="0"/>
      </w:r>
    </w:p>
    <w:p w14:paraId="605F6042" w14:textId="77777777" w:rsidR="00733687" w:rsidRDefault="00733687" w:rsidP="00733687">
      <w:r>
        <w:t xml:space="preserve">We conducted a pilot evaluation </w:t>
      </w:r>
      <w:r w:rsidRPr="00E66813">
        <w:rPr>
          <w:szCs w:val="24"/>
        </w:rPr>
        <w:t xml:space="preserve">of several potential modeling techniques </w:t>
      </w:r>
      <w:r>
        <w:t xml:space="preserve">to determine which would be best suited for species distribution modeling using these datasets. We conducted this evaluation (and all subsequent modeling) separately for breeding and migratory seasons, using the full set of covariates available at all spatial scales as predictors. All breeding season pilot models used the same set of woodcock survey data as presence and absence locations, while all migratory season pilot models used the same set of woodcock GPS points as presence locations and </w:t>
      </w:r>
      <w:proofErr w:type="gramStart"/>
      <w:r>
        <w:t>randomly-generated</w:t>
      </w:r>
      <w:proofErr w:type="gramEnd"/>
      <w:r>
        <w:t xml:space="preserve"> points as pseudoabsence locations.</w:t>
      </w:r>
    </w:p>
    <w:p w14:paraId="34A45AA5" w14:textId="435EA19F" w:rsidR="007D4E34" w:rsidRDefault="007D4E34" w:rsidP="007D4E34">
      <w:pPr>
        <w:ind w:firstLine="720"/>
      </w:pPr>
      <w:r>
        <w:t xml:space="preserve">We produced pilot models </w:t>
      </w:r>
      <w:r w:rsidRPr="00E66813">
        <w:rPr>
          <w:szCs w:val="24"/>
        </w:rPr>
        <w:t xml:space="preserve">using </w:t>
      </w:r>
      <w:proofErr w:type="spellStart"/>
      <w:r w:rsidRPr="00E66813">
        <w:rPr>
          <w:szCs w:val="24"/>
        </w:rPr>
        <w:t>MaxEnt</w:t>
      </w:r>
      <w:proofErr w:type="spellEnd"/>
      <w:r w:rsidRPr="00E66813">
        <w:rPr>
          <w:szCs w:val="24"/>
        </w:rPr>
        <w:t xml:space="preserve"> (Phillips et al., 2006), random forest classification (</w:t>
      </w:r>
      <w:proofErr w:type="spellStart"/>
      <w:r w:rsidRPr="00E66813">
        <w:rPr>
          <w:szCs w:val="24"/>
        </w:rPr>
        <w:t>Breiman</w:t>
      </w:r>
      <w:proofErr w:type="spellEnd"/>
      <w:r w:rsidRPr="00E66813">
        <w:rPr>
          <w:szCs w:val="24"/>
        </w:rPr>
        <w:t>, 2001), and boosted regression trees (Elith et al., 2008)</w:t>
      </w:r>
      <w:r>
        <w:t>,</w:t>
      </w:r>
      <w:r w:rsidRPr="00E66813">
        <w:rPr>
          <w:szCs w:val="24"/>
        </w:rPr>
        <w:t xml:space="preserve"> fit using the package </w:t>
      </w:r>
      <w:proofErr w:type="spellStart"/>
      <w:r w:rsidRPr="00CC49E2">
        <w:rPr>
          <w:i/>
          <w:iCs/>
          <w:szCs w:val="24"/>
        </w:rPr>
        <w:t>SDMtune</w:t>
      </w:r>
      <w:proofErr w:type="spellEnd"/>
      <w:r>
        <w:t xml:space="preserve"> for the statistical software R</w:t>
      </w:r>
      <w:r w:rsidRPr="00E66813">
        <w:rPr>
          <w:szCs w:val="24"/>
        </w:rPr>
        <w:t xml:space="preserve"> (Vignali et al., 2020</w:t>
      </w:r>
      <w:r>
        <w:t xml:space="preserve">, cite R </w:t>
      </w:r>
      <w:proofErr w:type="spellStart"/>
      <w:r>
        <w:t>tk</w:t>
      </w:r>
      <w:proofErr w:type="spellEnd"/>
      <w:r w:rsidRPr="00E66813">
        <w:rPr>
          <w:szCs w:val="24"/>
        </w:rPr>
        <w:t>)</w:t>
      </w:r>
      <w:r>
        <w:t>. These models were fit using k-fold cross validation with 5 folds. For the breeding season model, we withheld 1/5</w:t>
      </w:r>
      <w:r w:rsidRPr="003A5C51">
        <w:rPr>
          <w:vertAlign w:val="superscript"/>
        </w:rPr>
        <w:t>th</w:t>
      </w:r>
      <w:r>
        <w:t xml:space="preserve"> of the presence and absence data from each of 5 training folds and used the withheld data as testing folds to evaluate the model. As the migratory season dataset is effectively presence-only, we followed the presence-only k-fold technique implemented by </w:t>
      </w:r>
      <w:commentRangeStart w:id="1"/>
      <w:r w:rsidRPr="00E66813">
        <w:rPr>
          <w:szCs w:val="24"/>
        </w:rPr>
        <w:t xml:space="preserve">Vignali et al. </w:t>
      </w:r>
      <w:r>
        <w:t>(</w:t>
      </w:r>
      <w:r w:rsidRPr="00E66813">
        <w:rPr>
          <w:szCs w:val="24"/>
        </w:rPr>
        <w:t>2020</w:t>
      </w:r>
      <w:commentRangeEnd w:id="1"/>
      <w:r>
        <w:rPr>
          <w:rStyle w:val="CommentReference"/>
        </w:rPr>
        <w:commentReference w:id="1"/>
      </w:r>
      <w:r>
        <w:t>), which creates random folds only for presence locations and uses the full set of pseudoabsence locations in each testing and training fold. The hyperparameters which we set for each these models are outlined in Table A1.</w:t>
      </w:r>
    </w:p>
    <w:p w14:paraId="02BFBA31" w14:textId="77777777" w:rsidR="001A3CC7" w:rsidRDefault="001A3CC7" w:rsidP="001A3CC7"/>
    <w:p w14:paraId="76B983AB" w14:textId="77777777" w:rsidR="001A3CC7" w:rsidRDefault="001A3CC7" w:rsidP="001A3CC7">
      <w:r>
        <w:t xml:space="preserve">Table A1. Caption tk. Talk about where these defaults come from (the source packages, not just </w:t>
      </w:r>
      <w:proofErr w:type="spellStart"/>
      <w:r>
        <w:t>SDMTune</w:t>
      </w:r>
      <w:proofErr w:type="spellEnd"/>
      <w:r>
        <w:t>).</w:t>
      </w:r>
    </w:p>
    <w:tbl>
      <w:tblPr>
        <w:tblStyle w:val="TableGrid"/>
        <w:tblW w:w="9350" w:type="dxa"/>
        <w:tblLook w:val="04A0" w:firstRow="1" w:lastRow="0" w:firstColumn="1" w:lastColumn="0" w:noHBand="0" w:noVBand="1"/>
      </w:tblPr>
      <w:tblGrid>
        <w:gridCol w:w="1846"/>
        <w:gridCol w:w="1356"/>
        <w:gridCol w:w="1816"/>
        <w:gridCol w:w="1214"/>
        <w:gridCol w:w="1816"/>
        <w:gridCol w:w="1302"/>
      </w:tblGrid>
      <w:tr w:rsidR="001A3CC7" w14:paraId="3524A41C" w14:textId="77777777" w:rsidTr="00A82B04">
        <w:tc>
          <w:tcPr>
            <w:tcW w:w="3202" w:type="dxa"/>
            <w:gridSpan w:val="2"/>
            <w:tcBorders>
              <w:left w:val="nil"/>
              <w:right w:val="nil"/>
            </w:tcBorders>
          </w:tcPr>
          <w:p w14:paraId="45FD2411" w14:textId="77777777" w:rsidR="001A3CC7" w:rsidRPr="007B5F89" w:rsidRDefault="001A3CC7" w:rsidP="00A82B04">
            <w:pPr>
              <w:pStyle w:val="Table"/>
              <w:jc w:val="center"/>
              <w:rPr>
                <w:b/>
                <w:bCs w:val="0"/>
              </w:rPr>
            </w:pPr>
            <w:r w:rsidRPr="007B5F89">
              <w:rPr>
                <w:b/>
                <w:bCs w:val="0"/>
              </w:rPr>
              <w:t>Maxent</w:t>
            </w:r>
          </w:p>
        </w:tc>
        <w:tc>
          <w:tcPr>
            <w:tcW w:w="3030" w:type="dxa"/>
            <w:gridSpan w:val="2"/>
            <w:tcBorders>
              <w:left w:val="nil"/>
              <w:right w:val="nil"/>
            </w:tcBorders>
          </w:tcPr>
          <w:p w14:paraId="1B5D7E10" w14:textId="77777777" w:rsidR="001A3CC7" w:rsidRPr="007B5F89" w:rsidRDefault="001A3CC7" w:rsidP="00A82B04">
            <w:pPr>
              <w:pStyle w:val="Table"/>
              <w:jc w:val="center"/>
              <w:rPr>
                <w:b/>
                <w:bCs w:val="0"/>
              </w:rPr>
            </w:pPr>
            <w:r w:rsidRPr="007B5F89">
              <w:rPr>
                <w:b/>
                <w:bCs w:val="0"/>
              </w:rPr>
              <w:t>Random forest</w:t>
            </w:r>
          </w:p>
        </w:tc>
        <w:tc>
          <w:tcPr>
            <w:tcW w:w="3118" w:type="dxa"/>
            <w:gridSpan w:val="2"/>
            <w:tcBorders>
              <w:left w:val="nil"/>
              <w:right w:val="nil"/>
            </w:tcBorders>
          </w:tcPr>
          <w:p w14:paraId="6CB9F624" w14:textId="77777777" w:rsidR="001A3CC7" w:rsidRPr="007B5F89" w:rsidRDefault="001A3CC7" w:rsidP="00A82B04">
            <w:pPr>
              <w:pStyle w:val="Table"/>
              <w:jc w:val="center"/>
              <w:rPr>
                <w:b/>
                <w:bCs w:val="0"/>
              </w:rPr>
            </w:pPr>
            <w:r w:rsidRPr="007B5F89">
              <w:rPr>
                <w:b/>
                <w:bCs w:val="0"/>
              </w:rPr>
              <w:t>Boosted regression trees</w:t>
            </w:r>
          </w:p>
        </w:tc>
      </w:tr>
      <w:tr w:rsidR="001A3CC7" w14:paraId="3BD32A75" w14:textId="77777777" w:rsidTr="00A82B04">
        <w:tc>
          <w:tcPr>
            <w:tcW w:w="1846" w:type="dxa"/>
            <w:tcBorders>
              <w:left w:val="nil"/>
              <w:bottom w:val="single" w:sz="4" w:space="0" w:color="auto"/>
              <w:right w:val="nil"/>
            </w:tcBorders>
          </w:tcPr>
          <w:p w14:paraId="59B8A8B4" w14:textId="77777777" w:rsidR="001A3CC7" w:rsidRPr="00755A41" w:rsidRDefault="001A3CC7" w:rsidP="00A82B04">
            <w:pPr>
              <w:pStyle w:val="Table"/>
              <w:rPr>
                <w:i/>
                <w:iCs/>
              </w:rPr>
            </w:pPr>
            <w:r>
              <w:rPr>
                <w:i/>
                <w:iCs/>
              </w:rPr>
              <w:t>Hyperparameter</w:t>
            </w:r>
          </w:p>
        </w:tc>
        <w:tc>
          <w:tcPr>
            <w:tcW w:w="1356" w:type="dxa"/>
            <w:tcBorders>
              <w:left w:val="nil"/>
              <w:bottom w:val="single" w:sz="4" w:space="0" w:color="auto"/>
              <w:right w:val="nil"/>
            </w:tcBorders>
          </w:tcPr>
          <w:p w14:paraId="1C2CD5C3" w14:textId="77777777" w:rsidR="001A3CC7" w:rsidRPr="000A09E3" w:rsidRDefault="001A3CC7" w:rsidP="00A82B04">
            <w:pPr>
              <w:pStyle w:val="Table"/>
              <w:rPr>
                <w:i/>
                <w:iCs/>
              </w:rPr>
            </w:pPr>
            <w:r w:rsidRPr="000A09E3">
              <w:rPr>
                <w:i/>
                <w:iCs/>
              </w:rPr>
              <w:t>Value</w:t>
            </w:r>
          </w:p>
        </w:tc>
        <w:tc>
          <w:tcPr>
            <w:tcW w:w="1816" w:type="dxa"/>
            <w:tcBorders>
              <w:left w:val="nil"/>
              <w:bottom w:val="single" w:sz="4" w:space="0" w:color="auto"/>
              <w:right w:val="nil"/>
            </w:tcBorders>
          </w:tcPr>
          <w:p w14:paraId="7F11618B" w14:textId="77777777" w:rsidR="001A3CC7" w:rsidRPr="0096309C" w:rsidRDefault="001A3CC7" w:rsidP="00A82B04">
            <w:pPr>
              <w:pStyle w:val="Table"/>
            </w:pPr>
            <w:r>
              <w:rPr>
                <w:i/>
                <w:iCs/>
              </w:rPr>
              <w:t>Hyperparameter</w:t>
            </w:r>
          </w:p>
        </w:tc>
        <w:tc>
          <w:tcPr>
            <w:tcW w:w="1214" w:type="dxa"/>
            <w:tcBorders>
              <w:left w:val="nil"/>
              <w:bottom w:val="single" w:sz="4" w:space="0" w:color="auto"/>
              <w:right w:val="nil"/>
            </w:tcBorders>
          </w:tcPr>
          <w:p w14:paraId="58D80B2E" w14:textId="77777777" w:rsidR="001A3CC7" w:rsidRPr="0096309C" w:rsidRDefault="001A3CC7" w:rsidP="00A82B04">
            <w:pPr>
              <w:pStyle w:val="Table"/>
            </w:pPr>
            <w:r w:rsidRPr="000A09E3">
              <w:rPr>
                <w:i/>
                <w:iCs/>
              </w:rPr>
              <w:t>Value</w:t>
            </w:r>
          </w:p>
        </w:tc>
        <w:tc>
          <w:tcPr>
            <w:tcW w:w="1816" w:type="dxa"/>
            <w:tcBorders>
              <w:left w:val="nil"/>
              <w:bottom w:val="single" w:sz="4" w:space="0" w:color="auto"/>
              <w:right w:val="nil"/>
            </w:tcBorders>
          </w:tcPr>
          <w:p w14:paraId="7331BCF3" w14:textId="77777777" w:rsidR="001A3CC7" w:rsidRPr="0096309C" w:rsidRDefault="001A3CC7" w:rsidP="00A82B04">
            <w:pPr>
              <w:pStyle w:val="Table"/>
            </w:pPr>
            <w:r>
              <w:rPr>
                <w:i/>
                <w:iCs/>
              </w:rPr>
              <w:t>Hyperparameter</w:t>
            </w:r>
          </w:p>
        </w:tc>
        <w:tc>
          <w:tcPr>
            <w:tcW w:w="1302" w:type="dxa"/>
            <w:tcBorders>
              <w:left w:val="nil"/>
              <w:bottom w:val="single" w:sz="4" w:space="0" w:color="auto"/>
              <w:right w:val="nil"/>
            </w:tcBorders>
          </w:tcPr>
          <w:p w14:paraId="562A9CEE" w14:textId="77777777" w:rsidR="001A3CC7" w:rsidRPr="0096309C" w:rsidRDefault="001A3CC7" w:rsidP="00A82B04">
            <w:pPr>
              <w:pStyle w:val="Table"/>
            </w:pPr>
            <w:r w:rsidRPr="000A09E3">
              <w:rPr>
                <w:i/>
                <w:iCs/>
              </w:rPr>
              <w:t>Value</w:t>
            </w:r>
          </w:p>
        </w:tc>
      </w:tr>
      <w:tr w:rsidR="001A3CC7" w14:paraId="0AE436B9" w14:textId="77777777" w:rsidTr="00A82B04">
        <w:tc>
          <w:tcPr>
            <w:tcW w:w="1846" w:type="dxa"/>
            <w:tcBorders>
              <w:left w:val="nil"/>
              <w:bottom w:val="nil"/>
              <w:right w:val="nil"/>
            </w:tcBorders>
          </w:tcPr>
          <w:p w14:paraId="2F1095BC" w14:textId="77777777" w:rsidR="001A3CC7" w:rsidRDefault="001A3CC7" w:rsidP="00A82B04">
            <w:pPr>
              <w:pStyle w:val="Table"/>
            </w:pPr>
            <w:r>
              <w:t>Iterations</w:t>
            </w:r>
          </w:p>
        </w:tc>
        <w:tc>
          <w:tcPr>
            <w:tcW w:w="1356" w:type="dxa"/>
            <w:tcBorders>
              <w:left w:val="nil"/>
              <w:bottom w:val="nil"/>
              <w:right w:val="nil"/>
            </w:tcBorders>
          </w:tcPr>
          <w:p w14:paraId="2A4D0EDC" w14:textId="77777777" w:rsidR="001A3CC7" w:rsidRDefault="001A3CC7" w:rsidP="00A82B04">
            <w:pPr>
              <w:pStyle w:val="Table"/>
            </w:pPr>
            <w:r>
              <w:t>500</w:t>
            </w:r>
          </w:p>
        </w:tc>
        <w:tc>
          <w:tcPr>
            <w:tcW w:w="1816" w:type="dxa"/>
            <w:tcBorders>
              <w:left w:val="nil"/>
              <w:bottom w:val="nil"/>
              <w:right w:val="nil"/>
            </w:tcBorders>
          </w:tcPr>
          <w:p w14:paraId="693FE549" w14:textId="77777777" w:rsidR="001A3CC7" w:rsidRDefault="001A3CC7" w:rsidP="00A82B04">
            <w:pPr>
              <w:pStyle w:val="Table"/>
            </w:pPr>
            <w:r>
              <w:t>Number of trees</w:t>
            </w:r>
          </w:p>
        </w:tc>
        <w:tc>
          <w:tcPr>
            <w:tcW w:w="1214" w:type="dxa"/>
            <w:tcBorders>
              <w:left w:val="nil"/>
              <w:bottom w:val="nil"/>
              <w:right w:val="nil"/>
            </w:tcBorders>
          </w:tcPr>
          <w:p w14:paraId="534C19C7" w14:textId="77777777" w:rsidR="001A3CC7" w:rsidRDefault="001A3CC7" w:rsidP="00A82B04">
            <w:pPr>
              <w:pStyle w:val="Table"/>
            </w:pPr>
            <w:r>
              <w:t>2000</w:t>
            </w:r>
          </w:p>
        </w:tc>
        <w:tc>
          <w:tcPr>
            <w:tcW w:w="1816" w:type="dxa"/>
            <w:tcBorders>
              <w:left w:val="nil"/>
              <w:bottom w:val="nil"/>
              <w:right w:val="nil"/>
            </w:tcBorders>
          </w:tcPr>
          <w:p w14:paraId="2985D597" w14:textId="77777777" w:rsidR="001A3CC7" w:rsidRDefault="001A3CC7" w:rsidP="00A82B04">
            <w:pPr>
              <w:pStyle w:val="Table"/>
            </w:pPr>
            <w:r>
              <w:t>Number of trees</w:t>
            </w:r>
          </w:p>
        </w:tc>
        <w:tc>
          <w:tcPr>
            <w:tcW w:w="1302" w:type="dxa"/>
            <w:tcBorders>
              <w:left w:val="nil"/>
              <w:bottom w:val="nil"/>
              <w:right w:val="nil"/>
            </w:tcBorders>
          </w:tcPr>
          <w:p w14:paraId="0E5FC3B9" w14:textId="77777777" w:rsidR="001A3CC7" w:rsidRDefault="001A3CC7" w:rsidP="00A82B04">
            <w:pPr>
              <w:pStyle w:val="Table"/>
            </w:pPr>
            <w:r>
              <w:t>100</w:t>
            </w:r>
          </w:p>
        </w:tc>
      </w:tr>
      <w:tr w:rsidR="001A3CC7" w14:paraId="5474E010" w14:textId="77777777" w:rsidTr="00A82B04">
        <w:tc>
          <w:tcPr>
            <w:tcW w:w="1846" w:type="dxa"/>
            <w:tcBorders>
              <w:top w:val="nil"/>
              <w:left w:val="nil"/>
              <w:bottom w:val="nil"/>
              <w:right w:val="nil"/>
            </w:tcBorders>
          </w:tcPr>
          <w:p w14:paraId="7014189E" w14:textId="77777777" w:rsidR="001A3CC7" w:rsidRDefault="001A3CC7" w:rsidP="00A82B04">
            <w:pPr>
              <w:pStyle w:val="Table"/>
            </w:pPr>
            <w:r>
              <w:t>Feature classes</w:t>
            </w:r>
          </w:p>
        </w:tc>
        <w:tc>
          <w:tcPr>
            <w:tcW w:w="1356" w:type="dxa"/>
            <w:tcBorders>
              <w:top w:val="nil"/>
              <w:left w:val="nil"/>
              <w:bottom w:val="nil"/>
              <w:right w:val="nil"/>
            </w:tcBorders>
          </w:tcPr>
          <w:p w14:paraId="4E015531" w14:textId="77777777" w:rsidR="001A3CC7" w:rsidRDefault="001A3CC7" w:rsidP="00A82B04">
            <w:pPr>
              <w:pStyle w:val="Table"/>
            </w:pPr>
            <w:r>
              <w:t>linear, quadratic, product, hinge</w:t>
            </w:r>
          </w:p>
        </w:tc>
        <w:tc>
          <w:tcPr>
            <w:tcW w:w="1816" w:type="dxa"/>
            <w:tcBorders>
              <w:top w:val="nil"/>
              <w:left w:val="nil"/>
              <w:bottom w:val="nil"/>
              <w:right w:val="nil"/>
            </w:tcBorders>
          </w:tcPr>
          <w:p w14:paraId="242E12F1" w14:textId="77777777" w:rsidR="001A3CC7" w:rsidRDefault="001A3CC7" w:rsidP="00A82B04">
            <w:pPr>
              <w:pStyle w:val="Table"/>
            </w:pPr>
            <w:r w:rsidRPr="00914FAF">
              <w:t>Number of variable</w:t>
            </w:r>
            <w:r>
              <w:t>s</w:t>
            </w:r>
            <w:r w:rsidRPr="00914FAF">
              <w:t xml:space="preserve"> sampled at each split</w:t>
            </w:r>
          </w:p>
        </w:tc>
        <w:tc>
          <w:tcPr>
            <w:tcW w:w="1214" w:type="dxa"/>
            <w:tcBorders>
              <w:top w:val="nil"/>
              <w:left w:val="nil"/>
              <w:bottom w:val="nil"/>
              <w:right w:val="nil"/>
            </w:tcBorders>
          </w:tcPr>
          <w:p w14:paraId="16996EBC" w14:textId="77777777" w:rsidR="001A3CC7" w:rsidRDefault="001A3CC7" w:rsidP="00A82B04">
            <w:pPr>
              <w:pStyle w:val="Table"/>
            </w:pPr>
            <w:r>
              <w:t>5</w:t>
            </w:r>
          </w:p>
        </w:tc>
        <w:tc>
          <w:tcPr>
            <w:tcW w:w="1816" w:type="dxa"/>
            <w:tcBorders>
              <w:top w:val="nil"/>
              <w:left w:val="nil"/>
              <w:bottom w:val="nil"/>
              <w:right w:val="nil"/>
            </w:tcBorders>
          </w:tcPr>
          <w:p w14:paraId="1739EB34" w14:textId="77777777" w:rsidR="001A3CC7" w:rsidRDefault="001A3CC7" w:rsidP="00A82B04">
            <w:pPr>
              <w:pStyle w:val="Table"/>
            </w:pPr>
            <w:r>
              <w:t>F</w:t>
            </w:r>
            <w:r w:rsidRPr="006153B2">
              <w:t>raction of data used in tree expansion</w:t>
            </w:r>
          </w:p>
        </w:tc>
        <w:tc>
          <w:tcPr>
            <w:tcW w:w="1302" w:type="dxa"/>
            <w:tcBorders>
              <w:top w:val="nil"/>
              <w:left w:val="nil"/>
              <w:bottom w:val="nil"/>
              <w:right w:val="nil"/>
            </w:tcBorders>
          </w:tcPr>
          <w:p w14:paraId="2400F99E" w14:textId="77777777" w:rsidR="001A3CC7" w:rsidRDefault="001A3CC7" w:rsidP="00A82B04">
            <w:pPr>
              <w:pStyle w:val="Table"/>
            </w:pPr>
            <w:r>
              <w:t>0.5</w:t>
            </w:r>
          </w:p>
        </w:tc>
      </w:tr>
      <w:tr w:rsidR="001A3CC7" w14:paraId="05D9B654" w14:textId="77777777" w:rsidTr="00A82B04">
        <w:tc>
          <w:tcPr>
            <w:tcW w:w="1846" w:type="dxa"/>
            <w:tcBorders>
              <w:top w:val="nil"/>
              <w:left w:val="nil"/>
              <w:bottom w:val="nil"/>
              <w:right w:val="nil"/>
            </w:tcBorders>
          </w:tcPr>
          <w:p w14:paraId="22C4B276" w14:textId="77777777" w:rsidR="001A3CC7" w:rsidRDefault="001A3CC7" w:rsidP="00A82B04">
            <w:pPr>
              <w:pStyle w:val="Table"/>
            </w:pPr>
            <w:r>
              <w:t>Regularization multiplier</w:t>
            </w:r>
          </w:p>
        </w:tc>
        <w:tc>
          <w:tcPr>
            <w:tcW w:w="1356" w:type="dxa"/>
            <w:tcBorders>
              <w:top w:val="nil"/>
              <w:left w:val="nil"/>
              <w:bottom w:val="nil"/>
              <w:right w:val="nil"/>
            </w:tcBorders>
          </w:tcPr>
          <w:p w14:paraId="6EFF1AE0" w14:textId="77777777" w:rsidR="001A3CC7" w:rsidRDefault="001A3CC7" w:rsidP="00A82B04">
            <w:pPr>
              <w:pStyle w:val="Table"/>
            </w:pPr>
            <w:r>
              <w:t>1</w:t>
            </w:r>
          </w:p>
        </w:tc>
        <w:tc>
          <w:tcPr>
            <w:tcW w:w="1816" w:type="dxa"/>
            <w:tcBorders>
              <w:top w:val="nil"/>
              <w:left w:val="nil"/>
              <w:bottom w:val="nil"/>
              <w:right w:val="nil"/>
            </w:tcBorders>
          </w:tcPr>
          <w:p w14:paraId="4BB7048D" w14:textId="77777777" w:rsidR="001A3CC7" w:rsidRDefault="001A3CC7" w:rsidP="00A82B04">
            <w:pPr>
              <w:pStyle w:val="Table"/>
            </w:pPr>
            <w:r w:rsidRPr="0018178A">
              <w:t>Minimum size of terminal nodes</w:t>
            </w:r>
          </w:p>
        </w:tc>
        <w:tc>
          <w:tcPr>
            <w:tcW w:w="1214" w:type="dxa"/>
            <w:tcBorders>
              <w:top w:val="nil"/>
              <w:left w:val="nil"/>
              <w:bottom w:val="nil"/>
              <w:right w:val="nil"/>
            </w:tcBorders>
          </w:tcPr>
          <w:p w14:paraId="473674C2" w14:textId="77777777" w:rsidR="001A3CC7" w:rsidRDefault="001A3CC7" w:rsidP="00A82B04">
            <w:pPr>
              <w:pStyle w:val="Table"/>
            </w:pPr>
            <w:r>
              <w:t>1</w:t>
            </w:r>
          </w:p>
        </w:tc>
        <w:tc>
          <w:tcPr>
            <w:tcW w:w="1816" w:type="dxa"/>
            <w:tcBorders>
              <w:top w:val="nil"/>
              <w:left w:val="nil"/>
              <w:bottom w:val="nil"/>
              <w:right w:val="nil"/>
            </w:tcBorders>
          </w:tcPr>
          <w:p w14:paraId="0F2A00A9" w14:textId="77777777" w:rsidR="001A3CC7" w:rsidRDefault="001A3CC7" w:rsidP="00A82B04">
            <w:pPr>
              <w:pStyle w:val="Table"/>
            </w:pPr>
            <w:r w:rsidRPr="005D08D7">
              <w:t>Maximum depth of each tree</w:t>
            </w:r>
          </w:p>
        </w:tc>
        <w:tc>
          <w:tcPr>
            <w:tcW w:w="1302" w:type="dxa"/>
            <w:tcBorders>
              <w:top w:val="nil"/>
              <w:left w:val="nil"/>
              <w:bottom w:val="nil"/>
              <w:right w:val="nil"/>
            </w:tcBorders>
          </w:tcPr>
          <w:p w14:paraId="59680020" w14:textId="77777777" w:rsidR="001A3CC7" w:rsidRDefault="001A3CC7" w:rsidP="00A82B04">
            <w:pPr>
              <w:pStyle w:val="Table"/>
            </w:pPr>
            <w:r>
              <w:t>1</w:t>
            </w:r>
          </w:p>
        </w:tc>
      </w:tr>
      <w:tr w:rsidR="001A3CC7" w14:paraId="422174DE" w14:textId="77777777" w:rsidTr="00A82B04">
        <w:tc>
          <w:tcPr>
            <w:tcW w:w="1846" w:type="dxa"/>
            <w:tcBorders>
              <w:top w:val="nil"/>
              <w:left w:val="nil"/>
              <w:right w:val="nil"/>
            </w:tcBorders>
          </w:tcPr>
          <w:p w14:paraId="0C345ACF" w14:textId="77777777" w:rsidR="001A3CC7" w:rsidRDefault="001A3CC7" w:rsidP="00A82B04">
            <w:pPr>
              <w:pStyle w:val="Table"/>
            </w:pPr>
          </w:p>
        </w:tc>
        <w:tc>
          <w:tcPr>
            <w:tcW w:w="1356" w:type="dxa"/>
            <w:tcBorders>
              <w:top w:val="nil"/>
              <w:left w:val="nil"/>
              <w:right w:val="nil"/>
            </w:tcBorders>
          </w:tcPr>
          <w:p w14:paraId="4F8C63B5" w14:textId="77777777" w:rsidR="001A3CC7" w:rsidRDefault="001A3CC7" w:rsidP="00A82B04">
            <w:pPr>
              <w:pStyle w:val="Table"/>
            </w:pPr>
          </w:p>
        </w:tc>
        <w:tc>
          <w:tcPr>
            <w:tcW w:w="1816" w:type="dxa"/>
            <w:tcBorders>
              <w:top w:val="nil"/>
              <w:left w:val="nil"/>
              <w:right w:val="nil"/>
            </w:tcBorders>
          </w:tcPr>
          <w:p w14:paraId="57D9EC8C" w14:textId="77777777" w:rsidR="001A3CC7" w:rsidRPr="0018178A" w:rsidRDefault="001A3CC7" w:rsidP="00A82B04">
            <w:pPr>
              <w:pStyle w:val="Table"/>
            </w:pPr>
          </w:p>
        </w:tc>
        <w:tc>
          <w:tcPr>
            <w:tcW w:w="1214" w:type="dxa"/>
            <w:tcBorders>
              <w:top w:val="nil"/>
              <w:left w:val="nil"/>
              <w:right w:val="nil"/>
            </w:tcBorders>
          </w:tcPr>
          <w:p w14:paraId="5E548FDF" w14:textId="77777777" w:rsidR="001A3CC7" w:rsidRDefault="001A3CC7" w:rsidP="00A82B04">
            <w:pPr>
              <w:pStyle w:val="Table"/>
            </w:pPr>
          </w:p>
        </w:tc>
        <w:tc>
          <w:tcPr>
            <w:tcW w:w="1816" w:type="dxa"/>
            <w:tcBorders>
              <w:top w:val="nil"/>
              <w:left w:val="nil"/>
              <w:right w:val="nil"/>
            </w:tcBorders>
          </w:tcPr>
          <w:p w14:paraId="6D20561F" w14:textId="77777777" w:rsidR="001A3CC7" w:rsidRDefault="001A3CC7" w:rsidP="00A82B04">
            <w:pPr>
              <w:pStyle w:val="Table"/>
            </w:pPr>
            <w:r>
              <w:t>Shrinkage</w:t>
            </w:r>
          </w:p>
        </w:tc>
        <w:tc>
          <w:tcPr>
            <w:tcW w:w="1302" w:type="dxa"/>
            <w:tcBorders>
              <w:top w:val="nil"/>
              <w:left w:val="nil"/>
              <w:right w:val="nil"/>
            </w:tcBorders>
          </w:tcPr>
          <w:p w14:paraId="0C94C39F" w14:textId="77777777" w:rsidR="001A3CC7" w:rsidRDefault="001A3CC7" w:rsidP="00A82B04">
            <w:pPr>
              <w:pStyle w:val="Table"/>
            </w:pPr>
            <w:r>
              <w:t>0.1</w:t>
            </w:r>
          </w:p>
        </w:tc>
      </w:tr>
    </w:tbl>
    <w:p w14:paraId="188D34C7" w14:textId="77777777" w:rsidR="001A3CC7" w:rsidRDefault="001A3CC7" w:rsidP="001A3CC7"/>
    <w:p w14:paraId="21994B2C" w14:textId="77777777" w:rsidR="00D967A7" w:rsidRDefault="00D967A7" w:rsidP="00D967A7">
      <w:pPr>
        <w:ind w:firstLine="720"/>
      </w:pPr>
      <w:r>
        <w:lastRenderedPageBreak/>
        <w:t xml:space="preserve">We compared model effectiveness using </w:t>
      </w:r>
      <w:r w:rsidRPr="00E66813">
        <w:rPr>
          <w:szCs w:val="24"/>
        </w:rPr>
        <w:t>area-under-the-curve (AUC)</w:t>
      </w:r>
      <w:r>
        <w:t xml:space="preserve"> and true skill statistic (TSS; </w:t>
      </w:r>
      <w:r w:rsidRPr="00E66813">
        <w:rPr>
          <w:szCs w:val="24"/>
        </w:rPr>
        <w:t>Fielding and Bell, 1997</w:t>
      </w:r>
      <w:r>
        <w:t xml:space="preserve">, cite TSS paper </w:t>
      </w:r>
      <w:proofErr w:type="spellStart"/>
      <w:r>
        <w:t>tk</w:t>
      </w:r>
      <w:proofErr w:type="spellEnd"/>
      <w:r w:rsidRPr="00E66813">
        <w:rPr>
          <w:szCs w:val="24"/>
        </w:rPr>
        <w:t>).</w:t>
      </w:r>
      <w:r>
        <w:t xml:space="preserve"> The Maxent model did not converge when applied to the breeding season data, and so AUC and TSS were not calculated for that model. When applied to the migratory dataset, the random forest model had higher AUC and TSS than Maxent or boosted regression trees (Table A2). Applied to the breeding dataset, random forest and boosted regression trees resulted in similar AUC and TSS. Based on these results, we elected to use </w:t>
      </w:r>
      <w:r w:rsidRPr="00E66813">
        <w:rPr>
          <w:szCs w:val="24"/>
        </w:rPr>
        <w:t>random forest techniques for all subsequent models</w:t>
      </w:r>
      <w:r>
        <w:t>.</w:t>
      </w:r>
    </w:p>
    <w:p w14:paraId="10EBB113" w14:textId="77777777" w:rsidR="00692065" w:rsidRDefault="00692065" w:rsidP="00692065"/>
    <w:p w14:paraId="33E72065" w14:textId="77777777" w:rsidR="00692065" w:rsidRDefault="00692065" w:rsidP="00692065">
      <w:r>
        <w:t>Table A2. Caption tk.</w:t>
      </w:r>
    </w:p>
    <w:tbl>
      <w:tblPr>
        <w:tblStyle w:val="TableGrid"/>
        <w:tblW w:w="7560" w:type="dxa"/>
        <w:jc w:val="center"/>
        <w:tblLayout w:type="fixed"/>
        <w:tblLook w:val="04A0" w:firstRow="1" w:lastRow="0" w:firstColumn="1" w:lastColumn="0" w:noHBand="0" w:noVBand="1"/>
      </w:tblPr>
      <w:tblGrid>
        <w:gridCol w:w="1190"/>
        <w:gridCol w:w="790"/>
        <w:gridCol w:w="1080"/>
        <w:gridCol w:w="1800"/>
        <w:gridCol w:w="2700"/>
      </w:tblGrid>
      <w:tr w:rsidR="00692065" w14:paraId="15724B1F" w14:textId="77777777" w:rsidTr="00A82B04">
        <w:trPr>
          <w:jc w:val="center"/>
        </w:trPr>
        <w:tc>
          <w:tcPr>
            <w:tcW w:w="1190" w:type="dxa"/>
            <w:tcBorders>
              <w:top w:val="nil"/>
              <w:left w:val="nil"/>
              <w:bottom w:val="single" w:sz="4" w:space="0" w:color="auto"/>
              <w:right w:val="nil"/>
            </w:tcBorders>
          </w:tcPr>
          <w:p w14:paraId="44D28C59" w14:textId="77777777" w:rsidR="00692065" w:rsidRDefault="00692065" w:rsidP="00A82B04">
            <w:pPr>
              <w:pStyle w:val="Table"/>
              <w:jc w:val="both"/>
            </w:pPr>
          </w:p>
        </w:tc>
        <w:tc>
          <w:tcPr>
            <w:tcW w:w="790" w:type="dxa"/>
            <w:tcBorders>
              <w:top w:val="nil"/>
              <w:left w:val="nil"/>
              <w:bottom w:val="single" w:sz="4" w:space="0" w:color="auto"/>
              <w:right w:val="nil"/>
            </w:tcBorders>
          </w:tcPr>
          <w:p w14:paraId="5C5EFB03" w14:textId="77777777" w:rsidR="00692065" w:rsidRDefault="00692065" w:rsidP="00A82B04">
            <w:pPr>
              <w:pStyle w:val="Table"/>
              <w:jc w:val="both"/>
            </w:pPr>
          </w:p>
        </w:tc>
        <w:tc>
          <w:tcPr>
            <w:tcW w:w="1080" w:type="dxa"/>
            <w:tcBorders>
              <w:top w:val="single" w:sz="4" w:space="0" w:color="auto"/>
              <w:left w:val="nil"/>
              <w:bottom w:val="single" w:sz="4" w:space="0" w:color="auto"/>
              <w:right w:val="nil"/>
            </w:tcBorders>
          </w:tcPr>
          <w:p w14:paraId="42D08346" w14:textId="77777777" w:rsidR="00692065" w:rsidRDefault="00692065" w:rsidP="00A82B04">
            <w:pPr>
              <w:pStyle w:val="Table"/>
              <w:jc w:val="both"/>
            </w:pPr>
            <w:r w:rsidRPr="007B5F89">
              <w:rPr>
                <w:b/>
                <w:bCs w:val="0"/>
              </w:rPr>
              <w:t>Maxent</w:t>
            </w:r>
          </w:p>
        </w:tc>
        <w:tc>
          <w:tcPr>
            <w:tcW w:w="1800" w:type="dxa"/>
            <w:tcBorders>
              <w:top w:val="single" w:sz="4" w:space="0" w:color="auto"/>
              <w:left w:val="nil"/>
              <w:bottom w:val="single" w:sz="4" w:space="0" w:color="auto"/>
              <w:right w:val="nil"/>
            </w:tcBorders>
          </w:tcPr>
          <w:p w14:paraId="5448DE75" w14:textId="77777777" w:rsidR="00692065" w:rsidRDefault="00692065" w:rsidP="00A82B04">
            <w:pPr>
              <w:pStyle w:val="Table"/>
              <w:jc w:val="both"/>
            </w:pPr>
            <w:r w:rsidRPr="007B5F89">
              <w:rPr>
                <w:b/>
                <w:bCs w:val="0"/>
              </w:rPr>
              <w:t>Random forest</w:t>
            </w:r>
          </w:p>
        </w:tc>
        <w:tc>
          <w:tcPr>
            <w:tcW w:w="2700" w:type="dxa"/>
            <w:tcBorders>
              <w:top w:val="single" w:sz="4" w:space="0" w:color="auto"/>
              <w:left w:val="nil"/>
              <w:bottom w:val="single" w:sz="4" w:space="0" w:color="auto"/>
              <w:right w:val="nil"/>
            </w:tcBorders>
          </w:tcPr>
          <w:p w14:paraId="0A8B1A08" w14:textId="77777777" w:rsidR="00692065" w:rsidRDefault="00692065" w:rsidP="00A82B04">
            <w:pPr>
              <w:pStyle w:val="Table"/>
              <w:jc w:val="both"/>
            </w:pPr>
            <w:r w:rsidRPr="007B5F89">
              <w:rPr>
                <w:b/>
                <w:bCs w:val="0"/>
              </w:rPr>
              <w:t>Boosted regression trees</w:t>
            </w:r>
          </w:p>
        </w:tc>
      </w:tr>
      <w:tr w:rsidR="00692065" w14:paraId="155E6E8E" w14:textId="77777777" w:rsidTr="00A82B04">
        <w:trPr>
          <w:jc w:val="center"/>
        </w:trPr>
        <w:tc>
          <w:tcPr>
            <w:tcW w:w="1190" w:type="dxa"/>
            <w:vMerge w:val="restart"/>
            <w:tcBorders>
              <w:top w:val="single" w:sz="4" w:space="0" w:color="auto"/>
              <w:left w:val="nil"/>
              <w:right w:val="nil"/>
            </w:tcBorders>
          </w:tcPr>
          <w:p w14:paraId="5CB8B02A" w14:textId="77777777" w:rsidR="00692065" w:rsidRDefault="00692065" w:rsidP="00A82B04">
            <w:pPr>
              <w:pStyle w:val="Table"/>
              <w:jc w:val="both"/>
            </w:pPr>
            <w:r>
              <w:t>Breeding season</w:t>
            </w:r>
          </w:p>
        </w:tc>
        <w:tc>
          <w:tcPr>
            <w:tcW w:w="790" w:type="dxa"/>
            <w:tcBorders>
              <w:top w:val="single" w:sz="4" w:space="0" w:color="auto"/>
              <w:left w:val="nil"/>
              <w:bottom w:val="nil"/>
              <w:right w:val="nil"/>
            </w:tcBorders>
          </w:tcPr>
          <w:p w14:paraId="344B152C" w14:textId="77777777" w:rsidR="00692065" w:rsidRPr="00BD1AAC" w:rsidRDefault="00692065" w:rsidP="00A82B04">
            <w:pPr>
              <w:pStyle w:val="Table"/>
              <w:jc w:val="both"/>
              <w:rPr>
                <w:i/>
                <w:iCs/>
              </w:rPr>
            </w:pPr>
            <w:r w:rsidRPr="00BD1AAC">
              <w:rPr>
                <w:i/>
                <w:iCs/>
              </w:rPr>
              <w:t>AUC</w:t>
            </w:r>
          </w:p>
        </w:tc>
        <w:tc>
          <w:tcPr>
            <w:tcW w:w="1080" w:type="dxa"/>
            <w:tcBorders>
              <w:top w:val="single" w:sz="4" w:space="0" w:color="auto"/>
              <w:left w:val="nil"/>
              <w:bottom w:val="nil"/>
              <w:right w:val="nil"/>
            </w:tcBorders>
          </w:tcPr>
          <w:p w14:paraId="3F7811A0" w14:textId="77777777" w:rsidR="00692065" w:rsidRPr="008C1704" w:rsidRDefault="00692065" w:rsidP="00A82B04">
            <w:pPr>
              <w:pStyle w:val="Table"/>
              <w:jc w:val="both"/>
              <w:rPr>
                <w:vertAlign w:val="superscript"/>
              </w:rPr>
            </w:pPr>
            <w:r>
              <w:t>NA</w:t>
            </w:r>
            <w:r>
              <w:rPr>
                <w:vertAlign w:val="superscript"/>
              </w:rPr>
              <w:t>1</w:t>
            </w:r>
          </w:p>
        </w:tc>
        <w:tc>
          <w:tcPr>
            <w:tcW w:w="1800" w:type="dxa"/>
            <w:tcBorders>
              <w:top w:val="single" w:sz="4" w:space="0" w:color="auto"/>
              <w:left w:val="nil"/>
              <w:bottom w:val="nil"/>
              <w:right w:val="nil"/>
            </w:tcBorders>
          </w:tcPr>
          <w:p w14:paraId="7C48FC64" w14:textId="77777777" w:rsidR="00692065" w:rsidRDefault="00692065" w:rsidP="00A82B04">
            <w:pPr>
              <w:pStyle w:val="Table"/>
              <w:jc w:val="both"/>
            </w:pPr>
            <w:r>
              <w:t>0.787</w:t>
            </w:r>
          </w:p>
        </w:tc>
        <w:tc>
          <w:tcPr>
            <w:tcW w:w="2700" w:type="dxa"/>
            <w:tcBorders>
              <w:top w:val="single" w:sz="4" w:space="0" w:color="auto"/>
              <w:left w:val="nil"/>
              <w:bottom w:val="nil"/>
              <w:right w:val="nil"/>
            </w:tcBorders>
          </w:tcPr>
          <w:p w14:paraId="17077D4B" w14:textId="77777777" w:rsidR="00692065" w:rsidRDefault="00692065" w:rsidP="00A82B04">
            <w:pPr>
              <w:pStyle w:val="Table"/>
              <w:jc w:val="both"/>
            </w:pPr>
            <w:r>
              <w:t>0.771</w:t>
            </w:r>
          </w:p>
        </w:tc>
      </w:tr>
      <w:tr w:rsidR="00692065" w14:paraId="1C95C641" w14:textId="77777777" w:rsidTr="00A82B04">
        <w:trPr>
          <w:jc w:val="center"/>
        </w:trPr>
        <w:tc>
          <w:tcPr>
            <w:tcW w:w="1190" w:type="dxa"/>
            <w:vMerge/>
            <w:tcBorders>
              <w:left w:val="nil"/>
              <w:bottom w:val="nil"/>
              <w:right w:val="nil"/>
            </w:tcBorders>
          </w:tcPr>
          <w:p w14:paraId="62C3FBED" w14:textId="77777777" w:rsidR="00692065" w:rsidRDefault="00692065" w:rsidP="00A82B04">
            <w:pPr>
              <w:pStyle w:val="Table"/>
              <w:jc w:val="both"/>
            </w:pPr>
          </w:p>
        </w:tc>
        <w:tc>
          <w:tcPr>
            <w:tcW w:w="790" w:type="dxa"/>
            <w:tcBorders>
              <w:top w:val="nil"/>
              <w:left w:val="nil"/>
              <w:bottom w:val="nil"/>
              <w:right w:val="nil"/>
            </w:tcBorders>
          </w:tcPr>
          <w:p w14:paraId="13A491BC" w14:textId="77777777" w:rsidR="00692065" w:rsidRPr="00BD1AAC" w:rsidRDefault="00692065" w:rsidP="00A82B04">
            <w:pPr>
              <w:pStyle w:val="Table"/>
              <w:jc w:val="both"/>
              <w:rPr>
                <w:i/>
                <w:iCs/>
              </w:rPr>
            </w:pPr>
            <w:r w:rsidRPr="00BD1AAC">
              <w:rPr>
                <w:i/>
                <w:iCs/>
              </w:rPr>
              <w:t>TSS</w:t>
            </w:r>
          </w:p>
        </w:tc>
        <w:tc>
          <w:tcPr>
            <w:tcW w:w="1080" w:type="dxa"/>
            <w:tcBorders>
              <w:top w:val="nil"/>
              <w:left w:val="nil"/>
              <w:bottom w:val="nil"/>
              <w:right w:val="nil"/>
            </w:tcBorders>
          </w:tcPr>
          <w:p w14:paraId="2B779C96" w14:textId="77777777" w:rsidR="00692065" w:rsidRPr="008C1704" w:rsidRDefault="00692065" w:rsidP="00A82B04">
            <w:pPr>
              <w:pStyle w:val="Table"/>
              <w:jc w:val="both"/>
              <w:rPr>
                <w:vertAlign w:val="superscript"/>
              </w:rPr>
            </w:pPr>
            <w:r>
              <w:t>NA</w:t>
            </w:r>
            <w:r>
              <w:rPr>
                <w:vertAlign w:val="superscript"/>
              </w:rPr>
              <w:t>1</w:t>
            </w:r>
          </w:p>
        </w:tc>
        <w:tc>
          <w:tcPr>
            <w:tcW w:w="1800" w:type="dxa"/>
            <w:tcBorders>
              <w:top w:val="nil"/>
              <w:left w:val="nil"/>
              <w:bottom w:val="nil"/>
              <w:right w:val="nil"/>
            </w:tcBorders>
          </w:tcPr>
          <w:p w14:paraId="26BEDE51" w14:textId="77777777" w:rsidR="00692065" w:rsidRDefault="00692065" w:rsidP="00A82B04">
            <w:pPr>
              <w:pStyle w:val="Table"/>
              <w:jc w:val="both"/>
            </w:pPr>
            <w:r>
              <w:t>0.545</w:t>
            </w:r>
          </w:p>
        </w:tc>
        <w:tc>
          <w:tcPr>
            <w:tcW w:w="2700" w:type="dxa"/>
            <w:tcBorders>
              <w:top w:val="nil"/>
              <w:left w:val="nil"/>
              <w:bottom w:val="nil"/>
              <w:right w:val="nil"/>
            </w:tcBorders>
          </w:tcPr>
          <w:p w14:paraId="03638945" w14:textId="77777777" w:rsidR="00692065" w:rsidRDefault="00692065" w:rsidP="00A82B04">
            <w:pPr>
              <w:pStyle w:val="Table"/>
              <w:jc w:val="both"/>
            </w:pPr>
            <w:r>
              <w:t>0.548</w:t>
            </w:r>
          </w:p>
        </w:tc>
      </w:tr>
      <w:tr w:rsidR="00692065" w14:paraId="283F29AB" w14:textId="77777777" w:rsidTr="00A82B04">
        <w:trPr>
          <w:jc w:val="center"/>
        </w:trPr>
        <w:tc>
          <w:tcPr>
            <w:tcW w:w="1190" w:type="dxa"/>
            <w:vMerge w:val="restart"/>
            <w:tcBorders>
              <w:top w:val="nil"/>
              <w:left w:val="nil"/>
              <w:right w:val="nil"/>
            </w:tcBorders>
          </w:tcPr>
          <w:p w14:paraId="38E36935" w14:textId="77777777" w:rsidR="00692065" w:rsidRDefault="00692065" w:rsidP="00A82B04">
            <w:pPr>
              <w:pStyle w:val="Table"/>
              <w:jc w:val="both"/>
            </w:pPr>
            <w:r>
              <w:t>Migratory season</w:t>
            </w:r>
          </w:p>
        </w:tc>
        <w:tc>
          <w:tcPr>
            <w:tcW w:w="790" w:type="dxa"/>
            <w:tcBorders>
              <w:top w:val="nil"/>
              <w:left w:val="nil"/>
              <w:bottom w:val="nil"/>
              <w:right w:val="nil"/>
            </w:tcBorders>
          </w:tcPr>
          <w:p w14:paraId="0747D592" w14:textId="77777777" w:rsidR="00692065" w:rsidRPr="00BD1AAC" w:rsidRDefault="00692065" w:rsidP="00A82B04">
            <w:pPr>
              <w:pStyle w:val="Table"/>
              <w:jc w:val="both"/>
              <w:rPr>
                <w:i/>
                <w:iCs/>
              </w:rPr>
            </w:pPr>
            <w:r w:rsidRPr="00BD1AAC">
              <w:rPr>
                <w:i/>
                <w:iCs/>
              </w:rPr>
              <w:t>AUC</w:t>
            </w:r>
          </w:p>
        </w:tc>
        <w:tc>
          <w:tcPr>
            <w:tcW w:w="1080" w:type="dxa"/>
            <w:tcBorders>
              <w:top w:val="nil"/>
              <w:left w:val="nil"/>
              <w:bottom w:val="nil"/>
              <w:right w:val="nil"/>
            </w:tcBorders>
          </w:tcPr>
          <w:p w14:paraId="69D9082B" w14:textId="77777777" w:rsidR="00692065" w:rsidRDefault="00692065" w:rsidP="00A82B04">
            <w:pPr>
              <w:pStyle w:val="Table"/>
              <w:jc w:val="both"/>
            </w:pPr>
            <w:r>
              <w:t>0.617</w:t>
            </w:r>
          </w:p>
        </w:tc>
        <w:tc>
          <w:tcPr>
            <w:tcW w:w="1800" w:type="dxa"/>
            <w:tcBorders>
              <w:top w:val="nil"/>
              <w:left w:val="nil"/>
              <w:bottom w:val="nil"/>
              <w:right w:val="nil"/>
            </w:tcBorders>
          </w:tcPr>
          <w:p w14:paraId="461B5A6C" w14:textId="77777777" w:rsidR="00692065" w:rsidRDefault="00692065" w:rsidP="00A82B04">
            <w:pPr>
              <w:pStyle w:val="Table"/>
              <w:jc w:val="both"/>
            </w:pPr>
            <w:r>
              <w:t>0.846</w:t>
            </w:r>
          </w:p>
        </w:tc>
        <w:tc>
          <w:tcPr>
            <w:tcW w:w="2700" w:type="dxa"/>
            <w:tcBorders>
              <w:top w:val="nil"/>
              <w:left w:val="nil"/>
              <w:bottom w:val="nil"/>
              <w:right w:val="nil"/>
            </w:tcBorders>
          </w:tcPr>
          <w:p w14:paraId="2268C44B" w14:textId="77777777" w:rsidR="00692065" w:rsidRDefault="00692065" w:rsidP="00A82B04">
            <w:pPr>
              <w:pStyle w:val="Table"/>
              <w:jc w:val="both"/>
            </w:pPr>
            <w:r>
              <w:t>0.628</w:t>
            </w:r>
          </w:p>
        </w:tc>
      </w:tr>
      <w:tr w:rsidR="00692065" w14:paraId="234A7882" w14:textId="77777777" w:rsidTr="00A82B04">
        <w:trPr>
          <w:jc w:val="center"/>
        </w:trPr>
        <w:tc>
          <w:tcPr>
            <w:tcW w:w="1190" w:type="dxa"/>
            <w:vMerge/>
            <w:tcBorders>
              <w:left w:val="nil"/>
              <w:right w:val="nil"/>
            </w:tcBorders>
          </w:tcPr>
          <w:p w14:paraId="1A2E5659" w14:textId="77777777" w:rsidR="00692065" w:rsidRDefault="00692065" w:rsidP="00A82B04">
            <w:pPr>
              <w:pStyle w:val="Table"/>
              <w:jc w:val="both"/>
            </w:pPr>
          </w:p>
        </w:tc>
        <w:tc>
          <w:tcPr>
            <w:tcW w:w="790" w:type="dxa"/>
            <w:tcBorders>
              <w:top w:val="nil"/>
              <w:left w:val="nil"/>
              <w:right w:val="nil"/>
            </w:tcBorders>
          </w:tcPr>
          <w:p w14:paraId="7EB343E8" w14:textId="77777777" w:rsidR="00692065" w:rsidRPr="00BD1AAC" w:rsidRDefault="00692065" w:rsidP="00A82B04">
            <w:pPr>
              <w:pStyle w:val="Table"/>
              <w:jc w:val="both"/>
              <w:rPr>
                <w:i/>
                <w:iCs/>
              </w:rPr>
            </w:pPr>
            <w:r w:rsidRPr="00BD1AAC">
              <w:rPr>
                <w:i/>
                <w:iCs/>
              </w:rPr>
              <w:t>TSS</w:t>
            </w:r>
          </w:p>
        </w:tc>
        <w:tc>
          <w:tcPr>
            <w:tcW w:w="1080" w:type="dxa"/>
            <w:tcBorders>
              <w:top w:val="nil"/>
              <w:left w:val="nil"/>
              <w:right w:val="nil"/>
            </w:tcBorders>
          </w:tcPr>
          <w:p w14:paraId="3E412899" w14:textId="77777777" w:rsidR="00692065" w:rsidRDefault="00692065" w:rsidP="00A82B04">
            <w:pPr>
              <w:pStyle w:val="Table"/>
              <w:jc w:val="both"/>
            </w:pPr>
            <w:r>
              <w:t>0.261</w:t>
            </w:r>
          </w:p>
        </w:tc>
        <w:tc>
          <w:tcPr>
            <w:tcW w:w="1800" w:type="dxa"/>
            <w:tcBorders>
              <w:top w:val="nil"/>
              <w:left w:val="nil"/>
              <w:right w:val="nil"/>
            </w:tcBorders>
          </w:tcPr>
          <w:p w14:paraId="64BF3F16" w14:textId="77777777" w:rsidR="00692065" w:rsidRDefault="00692065" w:rsidP="00A82B04">
            <w:pPr>
              <w:pStyle w:val="Table"/>
              <w:jc w:val="both"/>
            </w:pPr>
            <w:r>
              <w:t>0.586</w:t>
            </w:r>
          </w:p>
        </w:tc>
        <w:tc>
          <w:tcPr>
            <w:tcW w:w="2700" w:type="dxa"/>
            <w:tcBorders>
              <w:top w:val="nil"/>
              <w:left w:val="nil"/>
              <w:right w:val="nil"/>
            </w:tcBorders>
          </w:tcPr>
          <w:p w14:paraId="17E4101A" w14:textId="77777777" w:rsidR="00692065" w:rsidRDefault="00692065" w:rsidP="00A82B04">
            <w:pPr>
              <w:pStyle w:val="Table"/>
              <w:jc w:val="both"/>
            </w:pPr>
            <w:r>
              <w:t>0.286</w:t>
            </w:r>
          </w:p>
        </w:tc>
      </w:tr>
    </w:tbl>
    <w:p w14:paraId="7AFDDC81" w14:textId="77777777" w:rsidR="00692065" w:rsidRDefault="00692065" w:rsidP="00692065"/>
    <w:p w14:paraId="5B38DB2C" w14:textId="6D2BCB3E" w:rsidR="00EC63F8" w:rsidRDefault="00692065" w:rsidP="00692065">
      <w:r>
        <w:rPr>
          <w:vertAlign w:val="superscript"/>
        </w:rPr>
        <w:t>1</w:t>
      </w:r>
      <w:r>
        <w:t xml:space="preserve"> The Maxent model for the breeding season did not converge after the maximum number of iterations (100,000), and therefore AUC and TSS were not calculated.</w:t>
      </w:r>
    </w:p>
    <w:p w14:paraId="40C70864" w14:textId="77777777" w:rsidR="003823F0" w:rsidRDefault="003823F0" w:rsidP="00692065"/>
    <w:p w14:paraId="157B8A35" w14:textId="67D3EED2" w:rsidR="003823F0" w:rsidRDefault="003823F0" w:rsidP="003823F0">
      <w:pPr>
        <w:spacing w:line="480" w:lineRule="auto"/>
        <w:rPr>
          <w:rFonts w:cs="Times New Roman"/>
          <w:b/>
          <w:bCs/>
          <w:szCs w:val="24"/>
        </w:rPr>
      </w:pPr>
      <w:r w:rsidRPr="005442D6">
        <w:rPr>
          <w:rFonts w:cs="Times New Roman"/>
          <w:b/>
          <w:bCs/>
          <w:szCs w:val="24"/>
        </w:rPr>
        <w:t xml:space="preserve">Appendix </w:t>
      </w:r>
      <w:r>
        <w:rPr>
          <w:rFonts w:cs="Times New Roman"/>
          <w:b/>
          <w:bCs/>
          <w:szCs w:val="24"/>
        </w:rPr>
        <w:t>2</w:t>
      </w:r>
      <w:r w:rsidRPr="005442D6">
        <w:rPr>
          <w:rFonts w:cs="Times New Roman"/>
          <w:b/>
          <w:bCs/>
          <w:szCs w:val="24"/>
        </w:rPr>
        <w:t>.</w:t>
      </w:r>
      <w:r>
        <w:rPr>
          <w:rFonts w:cs="Times New Roman"/>
          <w:b/>
          <w:bCs/>
          <w:szCs w:val="24"/>
        </w:rPr>
        <w:t xml:space="preserve"> </w:t>
      </w:r>
      <w:r>
        <w:rPr>
          <w:rFonts w:cs="Times New Roman"/>
          <w:b/>
          <w:bCs/>
          <w:szCs w:val="24"/>
        </w:rPr>
        <w:t>Design of W-PAST</w:t>
      </w:r>
    </w:p>
    <w:p w14:paraId="5E0A1CC2" w14:textId="28D221B5" w:rsidR="00DE6047" w:rsidRPr="00E66813" w:rsidRDefault="00DE6047" w:rsidP="00832DE1">
      <w:r w:rsidRPr="00E66813">
        <w:t xml:space="preserve">We created a Shiny </w:t>
      </w:r>
      <w:r w:rsidR="00832DE1">
        <w:t>application</w:t>
      </w:r>
      <w:r w:rsidRPr="00E66813">
        <w:t xml:space="preserve"> (Chang et al., 2022) named the Woodcock Priority Area Siting Tool (W-PAST), to facilitate local woodcock management planning. </w:t>
      </w:r>
      <w:r w:rsidR="007750F3">
        <w:t xml:space="preserve">While the application was </w:t>
      </w:r>
      <w:r w:rsidR="00297A1C">
        <w:t xml:space="preserve">built around the breeding and migratory season layers which </w:t>
      </w:r>
      <w:r w:rsidR="00010D59">
        <w:t>we derived separately, a major feature of the application was the ability to merge these layers into blended predictive layers</w:t>
      </w:r>
      <w:r w:rsidR="00862BA7">
        <w:t xml:space="preserve">, which would allow managers to </w:t>
      </w:r>
      <w:r w:rsidR="00C36710">
        <w:t>make management decisions based on both layers simultaneously.</w:t>
      </w:r>
      <w:r w:rsidR="00010D59">
        <w:t xml:space="preserve"> </w:t>
      </w:r>
      <w:r w:rsidRPr="00E66813">
        <w:t xml:space="preserve">The </w:t>
      </w:r>
      <w:r w:rsidR="00832DE1">
        <w:t>application</w:t>
      </w:r>
      <w:r w:rsidRPr="00E66813">
        <w:t xml:space="preserve"> allowed users to assign weights to each seasonal habitat suitability layer in 10% increments </w:t>
      </w:r>
      <w:r w:rsidR="004D1D3F">
        <w:t>(</w:t>
      </w:r>
      <w:r w:rsidR="004D1D3F" w:rsidRPr="0065592E">
        <w:rPr>
          <w:i/>
          <w:iCs/>
        </w:rPr>
        <w:t>e.g.,</w:t>
      </w:r>
      <w:r w:rsidR="004D1D3F">
        <w:t xml:space="preserve"> 70% breeding and 30% migratory)</w:t>
      </w:r>
      <w:r w:rsidRPr="00E66813">
        <w:t xml:space="preserve">, and then combined seasonal predictions into a single multi-season layer (Fig. </w:t>
      </w:r>
      <w:r w:rsidR="0055533A">
        <w:t>A1)</w:t>
      </w:r>
      <w:r w:rsidRPr="00E66813">
        <w:t>. The weighting was conducted on a pixel-by-pixel basis</w:t>
      </w:r>
      <w:r w:rsidRPr="00E66813">
        <w:rPr>
          <w:iCs/>
        </w:rPr>
        <w:t xml:space="preserve"> as a simple weighted average </w:t>
      </w:r>
      <w:r w:rsidRPr="00E66813">
        <w:t xml:space="preserve">where </w:t>
      </w:r>
      <w:r w:rsidRPr="00E66813">
        <w:rPr>
          <w:i/>
          <w:iCs/>
        </w:rPr>
        <w:t>p</w:t>
      </w:r>
      <w:r w:rsidRPr="00E66813">
        <w:rPr>
          <w:i/>
          <w:iCs/>
          <w:vertAlign w:val="subscript"/>
        </w:rPr>
        <w:t>w</w:t>
      </w:r>
      <w:r w:rsidRPr="00E66813">
        <w:t xml:space="preserve"> indicates the value of the weighted pixel value, </w:t>
      </w:r>
      <w:proofErr w:type="spellStart"/>
      <w:r w:rsidRPr="00E66813">
        <w:rPr>
          <w:i/>
          <w:iCs/>
        </w:rPr>
        <w:t>w</w:t>
      </w:r>
      <w:r w:rsidRPr="00E66813">
        <w:rPr>
          <w:i/>
          <w:iCs/>
          <w:vertAlign w:val="subscript"/>
        </w:rPr>
        <w:t>m</w:t>
      </w:r>
      <w:proofErr w:type="spellEnd"/>
      <w:r w:rsidRPr="00E66813">
        <w:t xml:space="preserve"> the weight of importance for migratory habitat, </w:t>
      </w:r>
      <w:proofErr w:type="spellStart"/>
      <w:r w:rsidRPr="00E66813">
        <w:rPr>
          <w:i/>
          <w:iCs/>
        </w:rPr>
        <w:t>w</w:t>
      </w:r>
      <w:r w:rsidRPr="00E66813">
        <w:rPr>
          <w:i/>
          <w:iCs/>
          <w:vertAlign w:val="subscript"/>
        </w:rPr>
        <w:t>b</w:t>
      </w:r>
      <w:proofErr w:type="spellEnd"/>
      <w:r w:rsidRPr="00E66813">
        <w:t xml:space="preserve"> the breeding season weight, </w:t>
      </w:r>
      <w:r w:rsidRPr="00E66813">
        <w:rPr>
          <w:i/>
          <w:iCs/>
        </w:rPr>
        <w:t>p</w:t>
      </w:r>
      <w:r w:rsidRPr="00E66813">
        <w:rPr>
          <w:i/>
          <w:iCs/>
          <w:vertAlign w:val="subscript"/>
        </w:rPr>
        <w:t>m</w:t>
      </w:r>
      <w:r w:rsidRPr="00E66813">
        <w:t xml:space="preserve"> the migratory pixel value, and </w:t>
      </w:r>
      <w:r w:rsidRPr="00E66813">
        <w:rPr>
          <w:i/>
          <w:iCs/>
        </w:rPr>
        <w:t>p</w:t>
      </w:r>
      <w:r w:rsidRPr="00E66813">
        <w:rPr>
          <w:i/>
          <w:iCs/>
          <w:vertAlign w:val="subscript"/>
        </w:rPr>
        <w:t>b</w:t>
      </w:r>
      <w:r w:rsidRPr="00E66813">
        <w:t xml:space="preserve"> the breeding season pixel value.</w:t>
      </w:r>
    </w:p>
    <w:p w14:paraId="44FE1E3C" w14:textId="77777777" w:rsidR="00DE6047" w:rsidRPr="00E66813" w:rsidRDefault="00DE6047" w:rsidP="00DE6047">
      <w:pPr>
        <w:spacing w:line="480" w:lineRule="auto"/>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m</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m:t>
                  </m:r>
                </m:sub>
              </m:sSub>
            </m:e>
          </m:d>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e>
          </m:d>
        </m:oMath>
      </m:oMathPara>
    </w:p>
    <w:p w14:paraId="63DAC2E1" w14:textId="77777777" w:rsidR="00DE6047" w:rsidRPr="00E66813" w:rsidRDefault="00DE6047" w:rsidP="00DE6047">
      <w:pPr>
        <w:spacing w:line="480" w:lineRule="auto"/>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m</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m:t>
              </m:r>
            </m:sub>
          </m:sSub>
        </m:oMath>
      </m:oMathPara>
    </w:p>
    <w:p w14:paraId="1F47CB13" w14:textId="1FFAD6DB" w:rsidR="003823F0" w:rsidRDefault="00DE6047" w:rsidP="00692065">
      <w:r w:rsidRPr="00E66813">
        <w:lastRenderedPageBreak/>
        <w:tab/>
      </w:r>
      <w:r w:rsidR="00666506">
        <w:t xml:space="preserve">In addition </w:t>
      </w:r>
      <w:r w:rsidR="004D1D3F">
        <w:t xml:space="preserve">to blended predictive layers, W-PAST included a suite of </w:t>
      </w:r>
      <w:r w:rsidR="00BA1145">
        <w:t>derived</w:t>
      </w:r>
      <w:r w:rsidR="00F52A8F">
        <w:t xml:space="preserve"> prioritization</w:t>
      </w:r>
      <w:r w:rsidR="00BA1145">
        <w:t xml:space="preserve"> metrics </w:t>
      </w:r>
      <w:r w:rsidR="009B3B68">
        <w:t xml:space="preserve">intended to allow the Pennsylvania Game Commission to compare </w:t>
      </w:r>
      <w:r w:rsidR="009B3B68" w:rsidRPr="00E66813">
        <w:t xml:space="preserve">habitat suitability among </w:t>
      </w:r>
      <w:r w:rsidR="009B3B68">
        <w:t xml:space="preserve">state-managed </w:t>
      </w:r>
      <w:proofErr w:type="spellStart"/>
      <w:r w:rsidR="009B3B68" w:rsidRPr="00E66813">
        <w:t>gamelands</w:t>
      </w:r>
      <w:proofErr w:type="spellEnd"/>
      <w:r w:rsidR="009B3B68">
        <w:t>.</w:t>
      </w:r>
      <w:r w:rsidR="00C704E4">
        <w:t xml:space="preserve"> </w:t>
      </w:r>
      <w:r w:rsidRPr="00E66813">
        <w:t xml:space="preserve">We built four comparison metrics into the </w:t>
      </w:r>
      <w:r w:rsidR="00C704E4">
        <w:t>application</w:t>
      </w:r>
      <w:r w:rsidRPr="00E66813">
        <w:t xml:space="preserve"> that were calculated using the weighted averages of the breeding and migratory season predictive layers: average pixel value, total habitat, % high quality, and % medium quality. Average pixel value was the arithmetic mean of all pixels within a state </w:t>
      </w:r>
      <w:proofErr w:type="spellStart"/>
      <w:r w:rsidRPr="00E66813">
        <w:t>gameland</w:t>
      </w:r>
      <w:proofErr w:type="spellEnd"/>
      <w:r w:rsidRPr="00E66813">
        <w:t xml:space="preserve">, which tended to favor small </w:t>
      </w:r>
      <w:proofErr w:type="spellStart"/>
      <w:r w:rsidRPr="00E66813">
        <w:t>gamelands</w:t>
      </w:r>
      <w:proofErr w:type="spellEnd"/>
      <w:r w:rsidRPr="00E66813">
        <w:t xml:space="preserve"> predominantly composed of woodcock habitat and was intended to demonstrate where a small amount of habitat management could increase local woodcock populations. Total habitat was average pixel value multiplied by the acreage of the </w:t>
      </w:r>
      <w:proofErr w:type="spellStart"/>
      <w:r w:rsidRPr="00E66813">
        <w:t>gameland</w:t>
      </w:r>
      <w:proofErr w:type="spellEnd"/>
      <w:r w:rsidRPr="00E66813">
        <w:t xml:space="preserve">, which favored larger </w:t>
      </w:r>
      <w:proofErr w:type="spellStart"/>
      <w:r w:rsidRPr="00E66813">
        <w:t>gamelands</w:t>
      </w:r>
      <w:proofErr w:type="spellEnd"/>
      <w:r w:rsidRPr="00E66813">
        <w:t xml:space="preserve"> that contained relatively large amounts of woodcock habitat in aggregate by virtue of their size. Total habitat could be used to determine which </w:t>
      </w:r>
      <w:proofErr w:type="spellStart"/>
      <w:r w:rsidRPr="00E66813">
        <w:t>gamelands</w:t>
      </w:r>
      <w:proofErr w:type="spellEnd"/>
      <w:r w:rsidRPr="00E66813">
        <w:t xml:space="preserve"> would provide the most habitat in aggregate if they were managed for woodcock. Percent high quality habitat was the percentage of cells within a </w:t>
      </w:r>
      <w:proofErr w:type="spellStart"/>
      <w:r w:rsidRPr="00E66813">
        <w:t>gameland</w:t>
      </w:r>
      <w:proofErr w:type="spellEnd"/>
      <w:r w:rsidRPr="00E66813">
        <w:t xml:space="preserve"> that had values greater than the 33rd percentile of all pixel values in the state, and percent medium quality was the percentage of cells falling between the 66th and 33rd percentile. These percentile-based metrics allowed users to quantify the proportion of a </w:t>
      </w:r>
      <w:proofErr w:type="spellStart"/>
      <w:r w:rsidRPr="00E66813">
        <w:t>gameland</w:t>
      </w:r>
      <w:proofErr w:type="spellEnd"/>
      <w:r w:rsidRPr="00E66813">
        <w:t xml:space="preserve"> which might be suitable for woodcock management. By multiplying the percent high or medium quality by the </w:t>
      </w:r>
      <w:proofErr w:type="spellStart"/>
      <w:r w:rsidRPr="00E66813">
        <w:t>gameland</w:t>
      </w:r>
      <w:proofErr w:type="spellEnd"/>
      <w:r w:rsidRPr="00E66813">
        <w:t xml:space="preserve"> acreage (also provided in the tool), the user could also derive the acreage in each </w:t>
      </w:r>
      <w:proofErr w:type="spellStart"/>
      <w:r w:rsidRPr="00E66813">
        <w:t>gameland</w:t>
      </w:r>
      <w:proofErr w:type="spellEnd"/>
      <w:r w:rsidRPr="00E66813">
        <w:t xml:space="preserve"> that could be managed for woodcock effectively. Further instructions for using these metrics in management are included in a user manual, publicly available with the SDSS at </w:t>
      </w:r>
      <w:hyperlink r:id="rId8" w:history="1">
        <w:r w:rsidR="006438C3" w:rsidRPr="00DE7C9E">
          <w:rPr>
            <w:rStyle w:val="Hyperlink"/>
          </w:rPr>
          <w:t>https://woodcock.shinyapps.io/W-PAST2/</w:t>
        </w:r>
      </w:hyperlink>
      <w:r w:rsidRPr="00E66813">
        <w:t>.</w:t>
      </w:r>
    </w:p>
    <w:p w14:paraId="7164CE9D" w14:textId="77777777" w:rsidR="006438C3" w:rsidRDefault="006438C3" w:rsidP="006438C3">
      <w:r>
        <w:rPr>
          <w:noProof/>
        </w:rPr>
        <w:drawing>
          <wp:inline distT="0" distB="0" distL="0" distR="0" wp14:anchorId="06ACC0D9" wp14:editId="399A5077">
            <wp:extent cx="5943600" cy="3175000"/>
            <wp:effectExtent l="0" t="0" r="0" b="0"/>
            <wp:docPr id="1129620289" name="Picture 1" descr="A diagram of different layers of l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0289" name="Picture 1" descr="A diagram of different layers of la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0CDE883A" w14:textId="4462FCA2" w:rsidR="006438C3" w:rsidRPr="00692065" w:rsidRDefault="006438C3" w:rsidP="00692065">
      <w:r w:rsidRPr="00E66813">
        <w:t xml:space="preserve">Figure </w:t>
      </w:r>
      <w:r>
        <w:t>A1</w:t>
      </w:r>
      <w:r w:rsidRPr="00E66813">
        <w:t xml:space="preserve">. Conceptual diagram of user decision options in the Woodcock Priority Area Siting Tool (W-PAST). Users can choose the weighting of migratory and breeding season habitat at 10% increments based on management priorities. The resulting weights are used to generate a </w:t>
      </w:r>
      <w:r>
        <w:t>blended</w:t>
      </w:r>
      <w:r w:rsidRPr="00E66813">
        <w:t xml:space="preserve"> predictive layer and </w:t>
      </w:r>
      <w:r>
        <w:t>derived</w:t>
      </w:r>
      <w:r w:rsidRPr="00E66813">
        <w:t xml:space="preserve"> </w:t>
      </w:r>
      <w:r>
        <w:t xml:space="preserve">prioritization </w:t>
      </w:r>
      <w:r w:rsidRPr="00E66813">
        <w:t xml:space="preserve">metrics, which allow the user to compare the suitability of </w:t>
      </w:r>
      <w:proofErr w:type="spellStart"/>
      <w:r w:rsidRPr="00E66813">
        <w:t>gamelands</w:t>
      </w:r>
      <w:proofErr w:type="spellEnd"/>
      <w:r w:rsidRPr="00E66813">
        <w:t xml:space="preserve"> for woodcock management. </w:t>
      </w:r>
    </w:p>
    <w:p w14:paraId="48BE7A61" w14:textId="55E89699" w:rsidR="00C16AF1" w:rsidRPr="005442D6" w:rsidRDefault="00C16AF1" w:rsidP="00C16AF1">
      <w:pPr>
        <w:pStyle w:val="Bibliography"/>
        <w:rPr>
          <w:rFonts w:cs="Times New Roman"/>
          <w:b/>
          <w:bCs/>
          <w:szCs w:val="24"/>
        </w:rPr>
      </w:pPr>
      <w:r w:rsidRPr="005442D6">
        <w:rPr>
          <w:rFonts w:cs="Times New Roman"/>
          <w:b/>
          <w:bCs/>
          <w:szCs w:val="24"/>
        </w:rPr>
        <w:lastRenderedPageBreak/>
        <w:t>References</w:t>
      </w:r>
    </w:p>
    <w:p w14:paraId="5E188E57" w14:textId="77777777" w:rsidR="00C16AF1" w:rsidRPr="005442D6" w:rsidRDefault="00C16AF1" w:rsidP="00C16AF1">
      <w:pPr>
        <w:rPr>
          <w:rFonts w:cs="Times New Roman"/>
          <w:szCs w:val="24"/>
        </w:rPr>
      </w:pPr>
    </w:p>
    <w:p w14:paraId="41535DD1" w14:textId="213C79D8" w:rsidR="00AB6DB4" w:rsidRDefault="00AB6DB4" w:rsidP="00AB6DB4">
      <w:pPr>
        <w:pStyle w:val="Bibliography"/>
        <w:rPr>
          <w:rFonts w:cs="Times New Roman"/>
          <w:kern w:val="0"/>
          <w:szCs w:val="24"/>
        </w:rPr>
      </w:pPr>
      <w:proofErr w:type="spellStart"/>
      <w:r w:rsidRPr="005442D6">
        <w:rPr>
          <w:rFonts w:cs="Times New Roman"/>
          <w:kern w:val="0"/>
          <w:szCs w:val="24"/>
        </w:rPr>
        <w:t>Breiman</w:t>
      </w:r>
      <w:proofErr w:type="spellEnd"/>
      <w:r w:rsidRPr="005442D6">
        <w:rPr>
          <w:rFonts w:cs="Times New Roman"/>
          <w:kern w:val="0"/>
          <w:szCs w:val="24"/>
        </w:rPr>
        <w:t>, L., 2001. Random forests. Machine learning 45, 5–32.</w:t>
      </w:r>
    </w:p>
    <w:p w14:paraId="0E723D7F" w14:textId="77777777" w:rsidR="00241D5A" w:rsidRPr="00241D5A" w:rsidRDefault="00957615" w:rsidP="00241D5A">
      <w:pPr>
        <w:pStyle w:val="Bibliography"/>
        <w:rPr>
          <w:szCs w:val="24"/>
        </w:rPr>
      </w:pPr>
      <w:r w:rsidRPr="00E66813">
        <w:rPr>
          <w:szCs w:val="24"/>
        </w:rPr>
        <w:t xml:space="preserve">Chang, W., Cheng, J., Allaire, J.J., Sievert, C., </w:t>
      </w:r>
      <w:proofErr w:type="spellStart"/>
      <w:r w:rsidRPr="00E66813">
        <w:rPr>
          <w:szCs w:val="24"/>
        </w:rPr>
        <w:t>Schloerke</w:t>
      </w:r>
      <w:proofErr w:type="spellEnd"/>
      <w:r w:rsidRPr="00E66813">
        <w:rPr>
          <w:szCs w:val="24"/>
        </w:rPr>
        <w:t>, B., Xie, Y., Allen, J., McPherson, J., Dipert, A., Borges, B., 2022. shiny: Web Application Framework for R.</w:t>
      </w:r>
      <w:r w:rsidR="00241D5A">
        <w:rPr>
          <w:szCs w:val="24"/>
        </w:rPr>
        <w:t xml:space="preserve"> </w:t>
      </w:r>
      <w:r w:rsidR="00241D5A" w:rsidRPr="00241D5A">
        <w:rPr>
          <w:szCs w:val="24"/>
        </w:rPr>
        <w:t>R</w:t>
      </w:r>
    </w:p>
    <w:p w14:paraId="1E33AD61" w14:textId="26C1D824" w:rsidR="00957615" w:rsidRPr="00957615" w:rsidRDefault="00241D5A" w:rsidP="00241D5A">
      <w:pPr>
        <w:pStyle w:val="Bibliography"/>
        <w:rPr>
          <w:szCs w:val="24"/>
        </w:rPr>
      </w:pPr>
      <w:r w:rsidRPr="00241D5A">
        <w:rPr>
          <w:szCs w:val="24"/>
        </w:rPr>
        <w:t xml:space="preserve">  package version 1.9.1, https://CRAN.R-project.org/package=shiny.</w:t>
      </w:r>
    </w:p>
    <w:p w14:paraId="3642F6F1" w14:textId="77777777" w:rsidR="00AB6DB4" w:rsidRPr="005442D6" w:rsidRDefault="00AB6DB4" w:rsidP="00AB6DB4">
      <w:pPr>
        <w:pStyle w:val="Bibliography"/>
        <w:rPr>
          <w:rFonts w:cs="Times New Roman"/>
          <w:kern w:val="0"/>
          <w:szCs w:val="24"/>
        </w:rPr>
      </w:pPr>
      <w:r w:rsidRPr="005442D6">
        <w:rPr>
          <w:rFonts w:cs="Times New Roman"/>
          <w:kern w:val="0"/>
          <w:szCs w:val="24"/>
        </w:rPr>
        <w:t xml:space="preserve">Elith, J., </w:t>
      </w:r>
      <w:proofErr w:type="spellStart"/>
      <w:r w:rsidRPr="005442D6">
        <w:rPr>
          <w:rFonts w:cs="Times New Roman"/>
          <w:kern w:val="0"/>
          <w:szCs w:val="24"/>
        </w:rPr>
        <w:t>Leathwick</w:t>
      </w:r>
      <w:proofErr w:type="spellEnd"/>
      <w:r w:rsidRPr="005442D6">
        <w:rPr>
          <w:rFonts w:cs="Times New Roman"/>
          <w:kern w:val="0"/>
          <w:szCs w:val="24"/>
        </w:rPr>
        <w:t>, J.R., Hastie, T., 2008. A working guide to boosted regression trees. Journal of animal ecology 77, 802–813.</w:t>
      </w:r>
    </w:p>
    <w:p w14:paraId="42084821" w14:textId="77777777" w:rsidR="00AB6DB4" w:rsidRPr="005442D6" w:rsidRDefault="00AB6DB4" w:rsidP="00AB6DB4">
      <w:pPr>
        <w:pStyle w:val="Bibliography"/>
        <w:rPr>
          <w:rFonts w:cs="Times New Roman"/>
          <w:kern w:val="0"/>
          <w:szCs w:val="24"/>
        </w:rPr>
      </w:pPr>
      <w:r w:rsidRPr="005442D6">
        <w:rPr>
          <w:rFonts w:cs="Times New Roman"/>
          <w:kern w:val="0"/>
          <w:szCs w:val="24"/>
        </w:rPr>
        <w:t>Fielding, A.H., Bell, J.F., 1997. A review of methods for the assessment of prediction errors in conservation presence/absence models. Environmental conservation 24, 38–49.</w:t>
      </w:r>
    </w:p>
    <w:p w14:paraId="52C3E5E4" w14:textId="77777777" w:rsidR="00AB6DB4" w:rsidRPr="005442D6" w:rsidRDefault="00AB6DB4" w:rsidP="00AB6DB4">
      <w:pPr>
        <w:pStyle w:val="Bibliography"/>
        <w:rPr>
          <w:rFonts w:cs="Times New Roman"/>
          <w:kern w:val="0"/>
          <w:szCs w:val="24"/>
        </w:rPr>
      </w:pPr>
      <w:r w:rsidRPr="005442D6">
        <w:rPr>
          <w:rFonts w:cs="Times New Roman"/>
          <w:kern w:val="0"/>
          <w:szCs w:val="24"/>
        </w:rPr>
        <w:t xml:space="preserve">Phillips, S.J., Anderson, R.P., </w:t>
      </w:r>
      <w:proofErr w:type="spellStart"/>
      <w:r w:rsidRPr="005442D6">
        <w:rPr>
          <w:rFonts w:cs="Times New Roman"/>
          <w:kern w:val="0"/>
          <w:szCs w:val="24"/>
        </w:rPr>
        <w:t>Schapire</w:t>
      </w:r>
      <w:proofErr w:type="spellEnd"/>
      <w:r w:rsidRPr="005442D6">
        <w:rPr>
          <w:rFonts w:cs="Times New Roman"/>
          <w:kern w:val="0"/>
          <w:szCs w:val="24"/>
        </w:rPr>
        <w:t>, R.E., 2006. Maximum entropy modeling of species geographic distributions. Ecological modelling 190, 231–259.</w:t>
      </w:r>
    </w:p>
    <w:p w14:paraId="421E45E7" w14:textId="56B60DCE" w:rsidR="00C16AF1" w:rsidRPr="005442D6" w:rsidRDefault="00C16AF1" w:rsidP="00EC1635">
      <w:pPr>
        <w:spacing w:line="480" w:lineRule="auto"/>
        <w:rPr>
          <w:rFonts w:cs="Times New Roman"/>
          <w:b/>
          <w:bCs/>
          <w:szCs w:val="24"/>
        </w:rPr>
      </w:pPr>
    </w:p>
    <w:sectPr w:rsidR="00C16AF1" w:rsidRPr="005442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03-20T12:09:00Z" w:initials="Rev">
    <w:p w14:paraId="00CFE4BE" w14:textId="77777777" w:rsidR="009173CB" w:rsidRDefault="009173CB" w:rsidP="009173CB">
      <w:r>
        <w:rPr>
          <w:rStyle w:val="CommentReference"/>
        </w:rPr>
        <w:annotationRef/>
      </w:r>
      <w:r>
        <w:rPr>
          <w:color w:val="000000"/>
          <w:sz w:val="20"/>
          <w:szCs w:val="20"/>
        </w:rPr>
        <w:t>Add a header</w:t>
      </w:r>
    </w:p>
  </w:comment>
  <w:comment w:id="1" w:author="Reviewer" w:date="2025-03-18T12:36:00Z" w:initials="Rev">
    <w:p w14:paraId="5962BD65" w14:textId="35DC1F87" w:rsidR="007D4E34" w:rsidRDefault="007D4E34" w:rsidP="007D4E34">
      <w:r>
        <w:rPr>
          <w:rStyle w:val="CommentReference"/>
        </w:rPr>
        <w:annotationRef/>
      </w:r>
      <w:r>
        <w:rPr>
          <w:color w:val="000000"/>
          <w:sz w:val="20"/>
          <w:szCs w:val="20"/>
        </w:rPr>
        <w:t>Might go back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CFE4BE" w15:done="0"/>
  <w15:commentEx w15:paraId="5962B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7236A0" w16cex:dateUtc="2025-03-20T16:09:00Z"/>
  <w16cex:commentExtensible w16cex:durableId="687979DF" w16cex:dateUtc="2025-03-18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CFE4BE" w16cid:durableId="057236A0"/>
  <w16cid:commentId w16cid:paraId="5962BD65" w16cid:durableId="68797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2D"/>
    <w:rsid w:val="0001078F"/>
    <w:rsid w:val="00010D59"/>
    <w:rsid w:val="0006007F"/>
    <w:rsid w:val="000A7E30"/>
    <w:rsid w:val="00101E49"/>
    <w:rsid w:val="00103EBA"/>
    <w:rsid w:val="00134AFA"/>
    <w:rsid w:val="00143AA7"/>
    <w:rsid w:val="00145C70"/>
    <w:rsid w:val="00191678"/>
    <w:rsid w:val="001A3CC7"/>
    <w:rsid w:val="001B2C13"/>
    <w:rsid w:val="001D5E3E"/>
    <w:rsid w:val="001F02A3"/>
    <w:rsid w:val="00222B5A"/>
    <w:rsid w:val="00241D5A"/>
    <w:rsid w:val="00244237"/>
    <w:rsid w:val="00245BCC"/>
    <w:rsid w:val="00251D89"/>
    <w:rsid w:val="00297A1C"/>
    <w:rsid w:val="002B2792"/>
    <w:rsid w:val="002B308A"/>
    <w:rsid w:val="002F2601"/>
    <w:rsid w:val="003052F9"/>
    <w:rsid w:val="00321FEC"/>
    <w:rsid w:val="003823F0"/>
    <w:rsid w:val="003B55FB"/>
    <w:rsid w:val="003D09F6"/>
    <w:rsid w:val="003D3E4B"/>
    <w:rsid w:val="003D6FC6"/>
    <w:rsid w:val="003E0949"/>
    <w:rsid w:val="004246C1"/>
    <w:rsid w:val="004315D8"/>
    <w:rsid w:val="00443B87"/>
    <w:rsid w:val="004832B2"/>
    <w:rsid w:val="00487F1F"/>
    <w:rsid w:val="00490C9C"/>
    <w:rsid w:val="004D1D3F"/>
    <w:rsid w:val="004E2A24"/>
    <w:rsid w:val="004E4F30"/>
    <w:rsid w:val="005147E1"/>
    <w:rsid w:val="005442D6"/>
    <w:rsid w:val="0055533A"/>
    <w:rsid w:val="00595D94"/>
    <w:rsid w:val="005B0C96"/>
    <w:rsid w:val="005C4BA2"/>
    <w:rsid w:val="005E02E0"/>
    <w:rsid w:val="005E57F5"/>
    <w:rsid w:val="006331D7"/>
    <w:rsid w:val="006438C3"/>
    <w:rsid w:val="00651CB6"/>
    <w:rsid w:val="00666506"/>
    <w:rsid w:val="0068723D"/>
    <w:rsid w:val="00692065"/>
    <w:rsid w:val="006C55DC"/>
    <w:rsid w:val="006D6C0E"/>
    <w:rsid w:val="006E5304"/>
    <w:rsid w:val="00733687"/>
    <w:rsid w:val="007750F3"/>
    <w:rsid w:val="007B6386"/>
    <w:rsid w:val="007D4E34"/>
    <w:rsid w:val="007D5DB3"/>
    <w:rsid w:val="00832DE1"/>
    <w:rsid w:val="00862BA7"/>
    <w:rsid w:val="00864B35"/>
    <w:rsid w:val="008711E6"/>
    <w:rsid w:val="008A5334"/>
    <w:rsid w:val="008C6677"/>
    <w:rsid w:val="008E4BCA"/>
    <w:rsid w:val="008F5C2D"/>
    <w:rsid w:val="008F7795"/>
    <w:rsid w:val="00906250"/>
    <w:rsid w:val="00912235"/>
    <w:rsid w:val="009173CB"/>
    <w:rsid w:val="00926A6A"/>
    <w:rsid w:val="00940ED2"/>
    <w:rsid w:val="00957615"/>
    <w:rsid w:val="00967202"/>
    <w:rsid w:val="009746DA"/>
    <w:rsid w:val="009B1FFA"/>
    <w:rsid w:val="009B3B68"/>
    <w:rsid w:val="009C1F2A"/>
    <w:rsid w:val="009D0E4E"/>
    <w:rsid w:val="00A24652"/>
    <w:rsid w:val="00A5217B"/>
    <w:rsid w:val="00A57DC7"/>
    <w:rsid w:val="00A64898"/>
    <w:rsid w:val="00A97BD9"/>
    <w:rsid w:val="00AB6DB4"/>
    <w:rsid w:val="00AD6661"/>
    <w:rsid w:val="00AE036E"/>
    <w:rsid w:val="00AE29FD"/>
    <w:rsid w:val="00AE3591"/>
    <w:rsid w:val="00AF2304"/>
    <w:rsid w:val="00AF3000"/>
    <w:rsid w:val="00B00401"/>
    <w:rsid w:val="00B24787"/>
    <w:rsid w:val="00B510CE"/>
    <w:rsid w:val="00B76ECB"/>
    <w:rsid w:val="00BA04A9"/>
    <w:rsid w:val="00BA1145"/>
    <w:rsid w:val="00BD479B"/>
    <w:rsid w:val="00C0567F"/>
    <w:rsid w:val="00C077A3"/>
    <w:rsid w:val="00C124D0"/>
    <w:rsid w:val="00C16AF1"/>
    <w:rsid w:val="00C33898"/>
    <w:rsid w:val="00C36710"/>
    <w:rsid w:val="00C704E4"/>
    <w:rsid w:val="00C747D2"/>
    <w:rsid w:val="00CC49E2"/>
    <w:rsid w:val="00CC5EEF"/>
    <w:rsid w:val="00CE0F48"/>
    <w:rsid w:val="00D24A86"/>
    <w:rsid w:val="00D27600"/>
    <w:rsid w:val="00D8702E"/>
    <w:rsid w:val="00D967A7"/>
    <w:rsid w:val="00DD1C6A"/>
    <w:rsid w:val="00DD684D"/>
    <w:rsid w:val="00DE6047"/>
    <w:rsid w:val="00E1615E"/>
    <w:rsid w:val="00E179AD"/>
    <w:rsid w:val="00E31D6A"/>
    <w:rsid w:val="00E42DDE"/>
    <w:rsid w:val="00E454B0"/>
    <w:rsid w:val="00E47FD4"/>
    <w:rsid w:val="00E648B1"/>
    <w:rsid w:val="00EC1401"/>
    <w:rsid w:val="00EC1635"/>
    <w:rsid w:val="00EC63F8"/>
    <w:rsid w:val="00F3571B"/>
    <w:rsid w:val="00F52A8F"/>
    <w:rsid w:val="00F60C2E"/>
    <w:rsid w:val="00F730C8"/>
    <w:rsid w:val="00FA136E"/>
    <w:rsid w:val="00FA6D0A"/>
    <w:rsid w:val="00FA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FFF4"/>
  <w15:chartTrackingRefBased/>
  <w15:docId w15:val="{39258819-77C2-4DD2-85D2-C5D5A4A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D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5C70"/>
    <w:pPr>
      <w:ind w:left="720"/>
      <w:contextualSpacing/>
    </w:pPr>
  </w:style>
  <w:style w:type="paragraph" w:styleId="Bibliography">
    <w:name w:val="Bibliography"/>
    <w:basedOn w:val="Normal"/>
    <w:next w:val="Normal"/>
    <w:uiPriority w:val="37"/>
    <w:unhideWhenUsed/>
    <w:rsid w:val="00C16AF1"/>
    <w:pPr>
      <w:spacing w:after="0" w:line="240" w:lineRule="auto"/>
      <w:ind w:left="720" w:hanging="720"/>
    </w:pPr>
  </w:style>
  <w:style w:type="character" w:styleId="CommentReference">
    <w:name w:val="annotation reference"/>
    <w:uiPriority w:val="99"/>
    <w:semiHidden/>
    <w:unhideWhenUsed/>
    <w:rsid w:val="007D4E34"/>
    <w:rPr>
      <w:sz w:val="16"/>
      <w:szCs w:val="16"/>
    </w:rPr>
  </w:style>
  <w:style w:type="paragraph" w:customStyle="1" w:styleId="Table">
    <w:name w:val="Table"/>
    <w:basedOn w:val="Normal"/>
    <w:qFormat/>
    <w:rsid w:val="001A3CC7"/>
    <w:pPr>
      <w:spacing w:after="120" w:line="360" w:lineRule="auto"/>
    </w:pPr>
    <w:rPr>
      <w:bCs/>
      <w:szCs w:val="24"/>
    </w:rPr>
  </w:style>
  <w:style w:type="paragraph" w:styleId="CommentText">
    <w:name w:val="annotation text"/>
    <w:basedOn w:val="Normal"/>
    <w:link w:val="CommentTextChar"/>
    <w:uiPriority w:val="99"/>
    <w:semiHidden/>
    <w:unhideWhenUsed/>
    <w:rsid w:val="009173CB"/>
    <w:pPr>
      <w:spacing w:line="240" w:lineRule="auto"/>
    </w:pPr>
    <w:rPr>
      <w:sz w:val="20"/>
      <w:szCs w:val="20"/>
    </w:rPr>
  </w:style>
  <w:style w:type="character" w:customStyle="1" w:styleId="CommentTextChar">
    <w:name w:val="Comment Text Char"/>
    <w:basedOn w:val="DefaultParagraphFont"/>
    <w:link w:val="CommentText"/>
    <w:uiPriority w:val="99"/>
    <w:semiHidden/>
    <w:rsid w:val="009173C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73CB"/>
    <w:rPr>
      <w:b/>
      <w:bCs/>
    </w:rPr>
  </w:style>
  <w:style w:type="character" w:customStyle="1" w:styleId="CommentSubjectChar">
    <w:name w:val="Comment Subject Char"/>
    <w:basedOn w:val="CommentTextChar"/>
    <w:link w:val="CommentSubject"/>
    <w:uiPriority w:val="99"/>
    <w:semiHidden/>
    <w:rsid w:val="009173CB"/>
    <w:rPr>
      <w:rFonts w:ascii="Times New Roman" w:hAnsi="Times New Roman"/>
      <w:b/>
      <w:bCs/>
      <w:sz w:val="20"/>
      <w:szCs w:val="20"/>
    </w:rPr>
  </w:style>
  <w:style w:type="character" w:styleId="Hyperlink">
    <w:name w:val="Hyperlink"/>
    <w:basedOn w:val="DefaultParagraphFont"/>
    <w:uiPriority w:val="99"/>
    <w:unhideWhenUsed/>
    <w:rsid w:val="006438C3"/>
    <w:rPr>
      <w:color w:val="0563C1" w:themeColor="hyperlink"/>
      <w:u w:val="single"/>
    </w:rPr>
  </w:style>
  <w:style w:type="character" w:styleId="UnresolvedMention">
    <w:name w:val="Unresolved Mention"/>
    <w:basedOn w:val="DefaultParagraphFont"/>
    <w:uiPriority w:val="99"/>
    <w:semiHidden/>
    <w:unhideWhenUsed/>
    <w:rsid w:val="0064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dcock.shinyapps.io/W-PAST2/"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Reviewer</cp:lastModifiedBy>
  <cp:revision>136</cp:revision>
  <dcterms:created xsi:type="dcterms:W3CDTF">2023-04-21T12:56:00Z</dcterms:created>
  <dcterms:modified xsi:type="dcterms:W3CDTF">2025-03-23T21:47:00Z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id="SZQE84RF"/&gt;&lt;style id="http://www.zotero.org/styles/biological-conservation" hasBibliography="1" bibliographyStyleHasBeenSet="1"/&gt;&lt;prefs&gt;&lt;pref name="fieldType" value="Field"/&gt;&lt;/prefs&gt;&lt;/data&gt;</vt:lpwstr>
  </property>
</Properties>
</file>