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D04B3" w14:textId="77777777" w:rsidR="004245DE" w:rsidRPr="004245DE" w:rsidRDefault="004245DE" w:rsidP="004245DE">
      <w:pPr>
        <w:spacing w:line="480" w:lineRule="auto"/>
        <w:rPr>
          <w:i/>
          <w:iCs/>
        </w:rPr>
      </w:pPr>
      <w:r w:rsidRPr="004245DE">
        <w:rPr>
          <w:i/>
          <w:iCs/>
        </w:rPr>
        <w:t>Incorporating migratory data into species distribution models improves conservation of American Woodcock habitat</w:t>
      </w:r>
    </w:p>
    <w:p w14:paraId="269A1A0D" w14:textId="77777777" w:rsidR="004245DE" w:rsidRPr="004245DE" w:rsidRDefault="004245DE" w:rsidP="004245DE">
      <w:pPr>
        <w:spacing w:line="480" w:lineRule="auto"/>
      </w:pPr>
      <w:r w:rsidRPr="004245DE">
        <w:t>Target: Journal of Applied Ecology</w:t>
      </w:r>
    </w:p>
    <w:p w14:paraId="00E62218" w14:textId="77777777" w:rsidR="00FA0A7F" w:rsidRPr="00FA0A7F" w:rsidRDefault="005318C0" w:rsidP="00FA0A7F">
      <w:pPr>
        <w:spacing w:line="480" w:lineRule="auto"/>
        <w:rPr>
          <w:i/>
          <w:iCs/>
        </w:rPr>
      </w:pPr>
      <w:r>
        <w:rPr>
          <w:i/>
          <w:iCs/>
        </w:rPr>
        <w:t>Introduction</w:t>
      </w:r>
    </w:p>
    <w:p w14:paraId="17B69D22" w14:textId="77777777" w:rsidR="00B24B23" w:rsidRDefault="000A21C0" w:rsidP="00B70531">
      <w:pPr>
        <w:spacing w:line="480" w:lineRule="auto"/>
      </w:pPr>
      <w:r>
        <w:t xml:space="preserve">Animals frequently </w:t>
      </w:r>
      <w:r w:rsidR="00DF01BE">
        <w:t xml:space="preserve">use different habitats in certain </w:t>
      </w:r>
      <w:r>
        <w:t xml:space="preserve">stages of their life or annual cycle. This </w:t>
      </w:r>
      <w:r w:rsidR="00F66E3F">
        <w:t>principle</w:t>
      </w:r>
      <w:r>
        <w:t xml:space="preserve"> has been a component of wildlife management since Leopold </w:t>
      </w:r>
      <w:r w:rsidR="00984887" w:rsidRPr="00984887">
        <w:rPr>
          <w:noProof/>
        </w:rPr>
        <w:t>(1933)</w:t>
      </w:r>
      <w:r>
        <w:t xml:space="preserve">, and </w:t>
      </w:r>
      <w:r w:rsidR="00C121AC">
        <w:t>multi-stage habitat use has been incorporated into the management of animals ranging from white</w:t>
      </w:r>
      <w:r w:rsidR="00DE0892">
        <w:t>-</w:t>
      </w:r>
      <w:r w:rsidR="00C121AC">
        <w:t>tail</w:t>
      </w:r>
      <w:r w:rsidR="00DE0892">
        <w:t>ed</w:t>
      </w:r>
      <w:r w:rsidR="00C121AC">
        <w:t xml:space="preserve"> deer </w:t>
      </w:r>
      <w:r w:rsidR="007F4D1B" w:rsidRPr="007F4D1B">
        <w:rPr>
          <w:noProof/>
        </w:rPr>
        <w:t>(Voigt et al. 1997)</w:t>
      </w:r>
      <w:r w:rsidR="00C121AC">
        <w:t xml:space="preserve"> to greater sage-grouse </w:t>
      </w:r>
      <w:r w:rsidR="008A05D6" w:rsidRPr="008A05D6">
        <w:rPr>
          <w:noProof/>
        </w:rPr>
        <w:t>(Fedy et al. 2012)</w:t>
      </w:r>
      <w:r w:rsidR="00C121AC">
        <w:t>.</w:t>
      </w:r>
      <w:r w:rsidR="00DF01BE">
        <w:t xml:space="preserve"> </w:t>
      </w:r>
      <w:r w:rsidR="00B7170F">
        <w:t xml:space="preserve">These insights have been a popular focus of </w:t>
      </w:r>
      <w:r w:rsidR="00C201C1">
        <w:t>studies</w:t>
      </w:r>
      <w:r w:rsidR="00B7170F">
        <w:t xml:space="preserve"> on migratory birds </w:t>
      </w:r>
      <w:r w:rsidR="00C201C1" w:rsidRPr="00C201C1">
        <w:rPr>
          <w:noProof/>
        </w:rPr>
        <w:t>(Norris 2005, Marra et al. 2015)</w:t>
      </w:r>
      <w:r w:rsidR="00B7170F">
        <w:t>, which postulate that conserving migratory birds throughout their full annual cycle is necessary to slow population declines.</w:t>
      </w:r>
      <w:r w:rsidR="004E5D10">
        <w:t xml:space="preserve"> These concerns are reflected in recent migratory bird management plans which advocate for </w:t>
      </w:r>
      <w:r w:rsidR="00984887">
        <w:t>international conservation of</w:t>
      </w:r>
      <w:r w:rsidR="00BE4881">
        <w:t xml:space="preserve"> breeding, stopover, and wintering </w:t>
      </w:r>
      <w:r w:rsidR="00984887">
        <w:t>habitat</w:t>
      </w:r>
      <w:r w:rsidR="00BE4881">
        <w:t xml:space="preserve"> </w:t>
      </w:r>
      <w:r w:rsidR="00C23EB4" w:rsidRPr="00C23EB4">
        <w:rPr>
          <w:noProof/>
        </w:rPr>
        <w:t>(Rosenberg et al. 2016)</w:t>
      </w:r>
      <w:r w:rsidR="00BE4881">
        <w:t xml:space="preserve">. This </w:t>
      </w:r>
      <w:r w:rsidR="00F66E3F">
        <w:t>range wide</w:t>
      </w:r>
      <w:r w:rsidR="00BE4881">
        <w:t xml:space="preserve"> approach to management is an important step forward in migratory bird conservation, but </w:t>
      </w:r>
      <w:r w:rsidR="0047203B">
        <w:t xml:space="preserve">conserving habitat during the full annual cycle is a local issue as much as it is an international one. </w:t>
      </w:r>
      <w:r w:rsidR="00E723C9">
        <w:t xml:space="preserve">Much of a species’ migratory range, for example, can overlap with its breeding and wintering ranges, especially for short distance migrants or species with widespread breeding or non-breeding distributions. </w:t>
      </w:r>
      <w:r w:rsidR="000E37EC">
        <w:t>Most</w:t>
      </w:r>
      <w:r w:rsidR="00B24B23">
        <w:t xml:space="preserve"> </w:t>
      </w:r>
      <w:r w:rsidR="00E54B49">
        <w:t>regions</w:t>
      </w:r>
      <w:r w:rsidR="00B24B23">
        <w:t xml:space="preserve"> that are </w:t>
      </w:r>
      <w:r w:rsidR="00E54B49">
        <w:t>typically considered to be part of a bird’s</w:t>
      </w:r>
      <w:r w:rsidR="00B24B23">
        <w:t xml:space="preserve"> breeding </w:t>
      </w:r>
      <w:r w:rsidR="00E54B49">
        <w:t>range, for example, might be more accurately considered to be in the joint breeding and migratory range, and full annual cycle conservation in these areas would require consideration of both the breeding and migratory habitat requirements of that species.</w:t>
      </w:r>
    </w:p>
    <w:p w14:paraId="53B6CD7C" w14:textId="77777777" w:rsidR="00495186" w:rsidRDefault="00E028AC" w:rsidP="00406A00">
      <w:pPr>
        <w:spacing w:line="480" w:lineRule="auto"/>
      </w:pPr>
      <w:r>
        <w:tab/>
      </w:r>
      <w:r w:rsidR="000E37EC">
        <w:t>D</w:t>
      </w:r>
      <w:r w:rsidR="00CA10EE">
        <w:t>uring the migratory season</w:t>
      </w:r>
      <w:r w:rsidR="000E37EC">
        <w:t>, bird habitat use occurs at</w:t>
      </w:r>
      <w:r w:rsidR="00CA10EE">
        <w:t xml:space="preserve"> migratory stopover</w:t>
      </w:r>
      <w:r w:rsidR="000E37EC">
        <w:t xml:space="preserve"> </w:t>
      </w:r>
      <w:r w:rsidR="00CA10EE">
        <w:t>s</w:t>
      </w:r>
      <w:r w:rsidR="000E37EC">
        <w:t>ites</w:t>
      </w:r>
      <w:r w:rsidR="00CA10EE">
        <w:t xml:space="preserve">, which Mehlman </w:t>
      </w:r>
      <w:r w:rsidR="00720867" w:rsidRPr="00720867">
        <w:rPr>
          <w:noProof/>
        </w:rPr>
        <w:t>(2005)</w:t>
      </w:r>
      <w:r w:rsidR="00EC25E1">
        <w:t xml:space="preserve"> defines as any place where a bird can land and survive until the next migratory flight. However, those sites which have more resources can either improve or be less detrimental to a migratory bird’s condition and can increase the bird’s probability of successfully completing migration. </w:t>
      </w:r>
      <w:r w:rsidR="00EC25E1">
        <w:lastRenderedPageBreak/>
        <w:t xml:space="preserve">As migratory survival is believed to be a limiting factor for many species of birds </w:t>
      </w:r>
      <w:r w:rsidR="009F6FB8" w:rsidRPr="009F6FB8">
        <w:rPr>
          <w:noProof/>
        </w:rPr>
        <w:t>(Sillett and Holmes 2002, Rockwell et al. 2017, Robinson et al. 2020)</w:t>
      </w:r>
      <w:r w:rsidR="00EC25E1">
        <w:t xml:space="preserve">, </w:t>
      </w:r>
      <w:r w:rsidR="00406A00">
        <w:t xml:space="preserve">conserving migratory stopover sites is assumed to be an important step in slowing bird declines </w:t>
      </w:r>
      <w:r w:rsidR="00C201C1" w:rsidRPr="00C201C1">
        <w:rPr>
          <w:noProof/>
        </w:rPr>
        <w:t>(Faaborg et al. 2010)</w:t>
      </w:r>
      <w:r w:rsidR="00EC25E1">
        <w:t>.</w:t>
      </w:r>
      <w:r w:rsidR="009E1B16">
        <w:t xml:space="preserve"> </w:t>
      </w:r>
      <w:r w:rsidR="00495186">
        <w:t xml:space="preserve">Habitat selection for stopover sites </w:t>
      </w:r>
      <w:r w:rsidR="004225ED">
        <w:t>is frequently</w:t>
      </w:r>
      <w:r w:rsidR="00406A00">
        <w:t xml:space="preserve"> different from </w:t>
      </w:r>
      <w:r w:rsidR="00495186">
        <w:t>habitat selection during the breeding and wintering seasons</w:t>
      </w:r>
      <w:r w:rsidR="000520EA">
        <w:t xml:space="preserve"> </w:t>
      </w:r>
      <w:r w:rsidR="000520EA" w:rsidRPr="000520EA">
        <w:rPr>
          <w:noProof/>
        </w:rPr>
        <w:t>(Allen et al. 2020, Stanley et al. 2021)</w:t>
      </w:r>
      <w:r w:rsidR="004225ED">
        <w:t>, which can result in birds using areas during migratory stopovers that they normally would</w:t>
      </w:r>
      <w:r w:rsidR="000E37EC">
        <w:t xml:space="preserve"> </w:t>
      </w:r>
      <w:r w:rsidR="004225ED">
        <w:t>n</w:t>
      </w:r>
      <w:r w:rsidR="000E37EC">
        <w:t>o</w:t>
      </w:r>
      <w:r w:rsidR="004225ED">
        <w:t xml:space="preserve">t reside in during other portions of the year. </w:t>
      </w:r>
      <w:r w:rsidR="00406A00">
        <w:t xml:space="preserve">These differences in seasonal space use can now be tracked with some ease due to recent technological advances in </w:t>
      </w:r>
      <w:r w:rsidR="0047505E">
        <w:t>radar</w:t>
      </w:r>
      <w:r w:rsidR="00E72A0F">
        <w:t xml:space="preserve"> </w:t>
      </w:r>
      <w:r w:rsidR="00E72A0F" w:rsidRPr="00E72A0F">
        <w:rPr>
          <w:noProof/>
        </w:rPr>
        <w:t>(Larkin and Diehl 2012)</w:t>
      </w:r>
      <w:r w:rsidR="0047505E">
        <w:t xml:space="preserve">, </w:t>
      </w:r>
      <w:r w:rsidR="004225ED">
        <w:t xml:space="preserve">animal tracking </w:t>
      </w:r>
      <w:r w:rsidR="00E72A0F" w:rsidRPr="00E72A0F">
        <w:rPr>
          <w:noProof/>
        </w:rPr>
        <w:t>(Bridge et al. 2011)</w:t>
      </w:r>
      <w:r w:rsidR="0047505E">
        <w:t>,</w:t>
      </w:r>
      <w:r w:rsidR="004225ED">
        <w:t xml:space="preserve"> and </w:t>
      </w:r>
      <w:r w:rsidR="0047505E">
        <w:t>eBird data</w:t>
      </w:r>
      <w:r w:rsidR="00B35D53">
        <w:t xml:space="preserve"> </w:t>
      </w:r>
      <w:r w:rsidR="00B35D53" w:rsidRPr="00B35D53">
        <w:rPr>
          <w:noProof/>
        </w:rPr>
        <w:t>(Lin et al. 2020)</w:t>
      </w:r>
      <w:r w:rsidR="00406A00">
        <w:t>. These technologies can allow for the creation of migratory stopover habitat distribution models, which can be compared and used in conjunction with breeding and wintering habitat distribution models in much the same way that multi-</w:t>
      </w:r>
      <w:r w:rsidR="009F6FB8">
        <w:t>season</w:t>
      </w:r>
      <w:r w:rsidR="00406A00">
        <w:t xml:space="preserve"> </w:t>
      </w:r>
      <w:r w:rsidR="009F6FB8">
        <w:t>habitat</w:t>
      </w:r>
      <w:r w:rsidR="00406A00">
        <w:t xml:space="preserve"> use is examined for other wildlife species. </w:t>
      </w:r>
      <w:r w:rsidR="0047505E">
        <w:t xml:space="preserve">Here we show </w:t>
      </w:r>
      <w:r w:rsidR="00406A00">
        <w:t xml:space="preserve">an example of </w:t>
      </w:r>
      <w:r w:rsidR="0047505E">
        <w:t>how this migratory stopover data can be used in combination with breeding season data to enable multi-seasonal management for a common migratory</w:t>
      </w:r>
      <w:r w:rsidR="00231E6C">
        <w:t xml:space="preserve"> bird</w:t>
      </w:r>
      <w:r w:rsidR="0047505E">
        <w:t xml:space="preserve"> species in its breeding range.</w:t>
      </w:r>
    </w:p>
    <w:p w14:paraId="26F5F2DD" w14:textId="61AC7680" w:rsidR="00495186" w:rsidRDefault="00495186" w:rsidP="00495186">
      <w:pPr>
        <w:spacing w:line="480" w:lineRule="auto"/>
      </w:pPr>
      <w:r>
        <w:tab/>
      </w:r>
      <w:r w:rsidR="0047505E">
        <w:t>Our case study</w:t>
      </w:r>
      <w:r>
        <w:t xml:space="preserve"> focus</w:t>
      </w:r>
      <w:r w:rsidR="0047505E">
        <w:t>es</w:t>
      </w:r>
      <w:r>
        <w:t xml:space="preserve"> on American Woodcock (</w:t>
      </w:r>
      <w:r>
        <w:rPr>
          <w:i/>
          <w:iCs/>
        </w:rPr>
        <w:t>Scolopax minor</w:t>
      </w:r>
      <w:r>
        <w:t xml:space="preserve">) in the state of Pennsylvania. </w:t>
      </w:r>
      <w:r w:rsidRPr="001D5F75">
        <w:t>American Woodcock are a short distance migrant, most of whose migratory stopover habitat overlaps with their breeding and wintering range (eBird range figure</w:t>
      </w:r>
      <w:r>
        <w:t xml:space="preserve"> tk</w:t>
      </w:r>
      <w:r w:rsidRPr="001D5F75">
        <w:t>)</w:t>
      </w:r>
      <w:r>
        <w:t>. Pennsylvania provides both breeding habitat and stopover habitat for birds migrating to</w:t>
      </w:r>
      <w:r w:rsidR="00873506">
        <w:t xml:space="preserve"> and from</w:t>
      </w:r>
      <w:r>
        <w:t xml:space="preserve"> the northern extent of their range</w:t>
      </w:r>
      <w:r w:rsidR="00873506">
        <w:t xml:space="preserve">. </w:t>
      </w:r>
      <w:r>
        <w:t xml:space="preserve">However, </w:t>
      </w:r>
      <w:r w:rsidR="00231E6C">
        <w:t>Allen et al.</w:t>
      </w:r>
      <w:r w:rsidR="00E0079C">
        <w:t xml:space="preserve"> </w:t>
      </w:r>
      <w:r w:rsidR="00943393" w:rsidRPr="00943393">
        <w:rPr>
          <w:noProof/>
        </w:rPr>
        <w:t>(2020)</w:t>
      </w:r>
      <w:r w:rsidR="00231E6C">
        <w:t xml:space="preserve"> </w:t>
      </w:r>
      <w:r>
        <w:t xml:space="preserve">suggests that woodcock stopover habitat </w:t>
      </w:r>
      <w:r w:rsidR="00231E6C">
        <w:t>often differs from</w:t>
      </w:r>
      <w:r>
        <w:t xml:space="preserve"> habitat used during other seasons. Therefore, management for breeding season habitat alone may not be enough to protect woodcock stopover habitat.</w:t>
      </w:r>
      <w:r w:rsidR="00406A00">
        <w:t xml:space="preserve"> </w:t>
      </w:r>
      <w:r>
        <w:t xml:space="preserve">To determine whether additional management for stopover habitat is necessary, we first model migratory and breeding season woodcock habitat in Pennsylvania and examine the overlap between the two. If there is significant overlap between migratory and breeding season habitat, then existing management strategies for woodcock in Pennsylvania (which have been based on breeding season data) may be adequate to protect migratory stopover habitat. If not, then </w:t>
      </w:r>
      <w:r>
        <w:lastRenderedPageBreak/>
        <w:t>additional management may need to take place to additionally protect stopover habitat. We then demonstrate one possible method for incorporating stopover habitat into a habitat management framework by combining migratory and breeding season habitat suitability models into a single habitat prioritization tool. This tool</w:t>
      </w:r>
      <w:r w:rsidRPr="00794FDE">
        <w:t xml:space="preserve"> allows users to manually decide their priorities for</w:t>
      </w:r>
      <w:r>
        <w:t xml:space="preserve"> migratory and breeding season</w:t>
      </w:r>
      <w:r w:rsidRPr="00794FDE">
        <w:t xml:space="preserve"> management</w:t>
      </w:r>
      <w:r>
        <w:t xml:space="preserve"> and identify areas that provide woodcock habitat during both seasons, allowing users to incorporate full annual cycle conservation into a straightforward conservation prioritization framework.</w:t>
      </w:r>
    </w:p>
    <w:p w14:paraId="7E01F17B" w14:textId="77777777" w:rsidR="00720867" w:rsidRDefault="00720867" w:rsidP="009500BF">
      <w:pPr>
        <w:spacing w:line="480" w:lineRule="auto"/>
      </w:pPr>
      <w:r>
        <w:t>Literature cited:</w:t>
      </w:r>
    </w:p>
    <w:p w14:paraId="2B99F4EB"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Allen, B. B., D. G. McAuley, and E. J. Blomberg. 2020. Migratory status determines resource selection by American Woodcock at an important fall stopover, Cape May, New Jersey. The Condor 122:1–16.</w:t>
      </w:r>
    </w:p>
    <w:p w14:paraId="4C55B150" w14:textId="2DC8302A"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 xml:space="preserve">Bridge, E. S., K. Thorup, M. S. Bowlin, P. B. Chilson, R. H. Diehl, R. W. Fléron, P. Hartl, R. Kays, J. F. Kelly, W. D. Robinson, and M. Wikelski. 2011. Technology on the Move: Recent and Forthcoming Innovations for Tracking Migratory Birds. BioScience 61:689–698. </w:t>
      </w:r>
    </w:p>
    <w:p w14:paraId="66E52FF5" w14:textId="73EC7B8B"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 xml:space="preserve">Faaborg, J., R. T. Holmes, A. D. Anders, K. L. Bildstein, K. M. Dugger, S. A. Gauthreaux, P. Heglund, K. A. Hobson, A. E. Jahn, D. H. Johnson, S. C. Latta, D. J. Levey, P. P. Marra, C. L. Merkord, E. Nol, S. I. Rothstein, T. W. Sherry, T. Scott Sillett, F. R. Thompson, N. Warnock, S. A. Gauthreaux Jr, P. Heglund, K. A. Hobson, A. E. Jahn, D. H. Johnson, others, S. A. Gauthreaux, P. Heglund, K. A. Hobson, A. E. Jahn, D. H. Johnson, S. C. Latta, D. J. Levey, P. P. Marra, C. L. Merkord, E. Nol, S. I. Rothstein, T. W. Sherry, T. Scott Sillett, F. R. Thompson, and N. Warnock. 2010. Conserving migratory land birds in the New World: Do we know enough? Ecological Applications 20:398–418. </w:t>
      </w:r>
    </w:p>
    <w:p w14:paraId="016DAB1D"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 xml:space="preserve">Fedy, B. C., C. L. Aldridge, K. E. Doherty, J. L. Beck, B. Bedrosian, M. J. Holloran, G. D. Johnson, N. W. Kaczor, C. P. Kirol, C. A. Mandich, D. Marshall, G. Mckee, C. C. Swanson, and B. L. Walker. 2012. Interseasonal Movements of Greater Sage-Grouse, Migratory Behavior, and an Assessment of the </w:t>
      </w:r>
      <w:r w:rsidRPr="009F6FB8">
        <w:rPr>
          <w:rFonts w:cs="Calibri"/>
          <w:noProof/>
          <w:szCs w:val="24"/>
        </w:rPr>
        <w:lastRenderedPageBreak/>
        <w:t>Core Regions Concept in Wyoming. The Journal of Wildlife Management 76:1062–1071.</w:t>
      </w:r>
    </w:p>
    <w:p w14:paraId="674A3A98"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 xml:space="preserve">Larkin, R. P., and R. H. Diehl. 2012. Radar Techniques for Wildlife Management. Pages 319–348 </w:t>
      </w:r>
      <w:r w:rsidRPr="009F6FB8">
        <w:rPr>
          <w:rFonts w:cs="Calibri"/>
          <w:i/>
          <w:iCs/>
          <w:noProof/>
          <w:szCs w:val="24"/>
        </w:rPr>
        <w:t>in</w:t>
      </w:r>
      <w:r w:rsidRPr="009F6FB8">
        <w:rPr>
          <w:rFonts w:cs="Calibri"/>
          <w:noProof/>
          <w:szCs w:val="24"/>
        </w:rPr>
        <w:t xml:space="preserve"> N. J. Silvy, editor. The Wildlife Techniques Manual: Volume 1: Research. Seventh edition. John Hopkins University Press, Baltimore, MD, USA.</w:t>
      </w:r>
    </w:p>
    <w:p w14:paraId="25B6C8DD"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Leopold, A. 1933. Game management. Scribner, New York, New York, USA.</w:t>
      </w:r>
    </w:p>
    <w:p w14:paraId="70449DF3" w14:textId="524C7DDA"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 xml:space="preserve">Lin, H. Y., R. Schuster, S. Wilson, S. J. Cooke, A. D. Rodewald, and J. R. Bennett. 2020. Integrating season-specific needs of migratory and resident birds in conservation planning. Biological Conservation 252:108826. </w:t>
      </w:r>
    </w:p>
    <w:p w14:paraId="136C610D" w14:textId="5B8505DC"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Marra, P. P., E. B. Cohen, S. R. Loss, J. E. Rutter, and C. M. Tonra. 2015. A call for full annual cycle research in animal ecology. Biology Letters 11.</w:t>
      </w:r>
    </w:p>
    <w:p w14:paraId="3FD3E73F"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Mehlman, D., S. Mabey, D. Ewert, C. Duncan, B. Abel, D. Cimprinch, R. Sutter, and M. Woodrey. 2005. Conserving stopover sites for forest-dwelling migratory landbirds. The Auk 122:1281–1290.</w:t>
      </w:r>
    </w:p>
    <w:p w14:paraId="3F5B2637" w14:textId="193EB7D2"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 xml:space="preserve">Norris, D. R. 2005. Carry-over effects and habitat quality in migratory populations. Oikos 109:178–186. </w:t>
      </w:r>
    </w:p>
    <w:p w14:paraId="26D5ED04"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Robinson, R. A., C. M. Meier, W. Witvliet, M. Kéry, and M. Schaub. 2020. Survival varies seasonally in a migratory bird: Linkages between breeding and non-breeding periods. Journal of Animal Ecology 89:2111–2121.</w:t>
      </w:r>
    </w:p>
    <w:p w14:paraId="77F26E8B"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Rockwell, S. M., J. M. Wunderle, · T Scott Sillett, C. I. Bocetti, D. N. Ewert, D. Currie, J. D. White, · Peter, P. Marra, and S. Org. 2017. Seasonal survival estimation for a long-distance migratory bird and the influence of winter precipitation. Oecologia 183:715–726.</w:t>
      </w:r>
    </w:p>
    <w:p w14:paraId="2A87BE43"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 xml:space="preserve">Rosenberg, K. V, J. A. Kennedy, R. Dettmers, R. P. Ford, D. Reynolds, J. D. Alexander, C. J. Beardmore, P. J. Blancher, R. E. Bogart, G. S. Butcher, and others. 2016. Partners in Flight landbird conservation </w:t>
      </w:r>
      <w:r w:rsidRPr="009F6FB8">
        <w:rPr>
          <w:rFonts w:cs="Calibri"/>
          <w:noProof/>
          <w:szCs w:val="24"/>
        </w:rPr>
        <w:lastRenderedPageBreak/>
        <w:t>plan: 2016 revision for Canada and continental United States. Partners in Flight Science Committee.</w:t>
      </w:r>
    </w:p>
    <w:p w14:paraId="349ADC3E" w14:textId="77777777"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Sillett, T., and R. T. Holmes. 2002. Variation in survivorship of a migratory songbird throughout its annual cycle. Journal of Animal Ecology 71:296–308.</w:t>
      </w:r>
    </w:p>
    <w:p w14:paraId="34001070" w14:textId="2FF38A42" w:rsidR="009F6FB8" w:rsidRPr="009F6FB8" w:rsidRDefault="009F6FB8" w:rsidP="009F6FB8">
      <w:pPr>
        <w:widowControl w:val="0"/>
        <w:autoSpaceDE w:val="0"/>
        <w:autoSpaceDN w:val="0"/>
        <w:adjustRightInd w:val="0"/>
        <w:spacing w:line="480" w:lineRule="auto"/>
        <w:ind w:left="480" w:hanging="480"/>
        <w:rPr>
          <w:rFonts w:cs="Calibri"/>
          <w:noProof/>
          <w:szCs w:val="24"/>
        </w:rPr>
      </w:pPr>
      <w:r w:rsidRPr="009F6FB8">
        <w:rPr>
          <w:rFonts w:cs="Calibri"/>
          <w:noProof/>
          <w:szCs w:val="24"/>
        </w:rPr>
        <w:t>Stanley, C. Q., M. R. Dudash, T. B. Ryder, W. G. Shriver, K. Serno, S. Adalsteinsson, and P. P. Marra. 2021. Seasonal variation in habitat selection for a Neotropical migratory songbird using high‐resolution GPS tracking. Ecosphere 12:e03421.</w:t>
      </w:r>
    </w:p>
    <w:p w14:paraId="01837155" w14:textId="77777777" w:rsidR="009F6FB8" w:rsidRPr="009F6FB8" w:rsidRDefault="009F6FB8" w:rsidP="009F6FB8">
      <w:pPr>
        <w:widowControl w:val="0"/>
        <w:autoSpaceDE w:val="0"/>
        <w:autoSpaceDN w:val="0"/>
        <w:adjustRightInd w:val="0"/>
        <w:spacing w:line="480" w:lineRule="auto"/>
        <w:ind w:left="480" w:hanging="480"/>
        <w:rPr>
          <w:rFonts w:cs="Calibri"/>
          <w:noProof/>
        </w:rPr>
      </w:pPr>
      <w:r w:rsidRPr="009F6FB8">
        <w:rPr>
          <w:rFonts w:cs="Calibri"/>
          <w:noProof/>
          <w:szCs w:val="24"/>
        </w:rPr>
        <w:t>Voigt, D. R., J. D. Broadfoot, and J. A. Baker. 1997. Forest management guidelines for the provision of white-tailed deer habitat. Ontario Ministry of Natural Resources.</w:t>
      </w:r>
    </w:p>
    <w:p w14:paraId="2A9F78C9" w14:textId="77777777" w:rsidR="00720867" w:rsidRDefault="00720867" w:rsidP="009500BF">
      <w:pPr>
        <w:spacing w:line="480" w:lineRule="auto"/>
      </w:pPr>
    </w:p>
    <w:sectPr w:rsidR="00720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EEC"/>
    <w:multiLevelType w:val="hybridMultilevel"/>
    <w:tmpl w:val="2A8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2CE5"/>
    <w:multiLevelType w:val="hybridMultilevel"/>
    <w:tmpl w:val="8CDA3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15C68"/>
    <w:multiLevelType w:val="hybridMultilevel"/>
    <w:tmpl w:val="770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81394"/>
    <w:multiLevelType w:val="hybridMultilevel"/>
    <w:tmpl w:val="8E6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18C0"/>
    <w:rsid w:val="000315A6"/>
    <w:rsid w:val="00034454"/>
    <w:rsid w:val="000520EA"/>
    <w:rsid w:val="00056BED"/>
    <w:rsid w:val="000579DB"/>
    <w:rsid w:val="000A21C0"/>
    <w:rsid w:val="000E37EC"/>
    <w:rsid w:val="00104D10"/>
    <w:rsid w:val="001334F4"/>
    <w:rsid w:val="001361FF"/>
    <w:rsid w:val="00140E86"/>
    <w:rsid w:val="001434E3"/>
    <w:rsid w:val="001528B9"/>
    <w:rsid w:val="001B3286"/>
    <w:rsid w:val="001C19A5"/>
    <w:rsid w:val="001D4C13"/>
    <w:rsid w:val="001D5F75"/>
    <w:rsid w:val="001E1BB6"/>
    <w:rsid w:val="00213B17"/>
    <w:rsid w:val="00231E6C"/>
    <w:rsid w:val="0023310A"/>
    <w:rsid w:val="00253256"/>
    <w:rsid w:val="00285850"/>
    <w:rsid w:val="002A0691"/>
    <w:rsid w:val="002A7D72"/>
    <w:rsid w:val="002B3874"/>
    <w:rsid w:val="002F32AA"/>
    <w:rsid w:val="002F7247"/>
    <w:rsid w:val="00356601"/>
    <w:rsid w:val="00367957"/>
    <w:rsid w:val="003911C9"/>
    <w:rsid w:val="00397400"/>
    <w:rsid w:val="003D2C20"/>
    <w:rsid w:val="003E005D"/>
    <w:rsid w:val="003F1AA3"/>
    <w:rsid w:val="004005B7"/>
    <w:rsid w:val="00406A00"/>
    <w:rsid w:val="004225ED"/>
    <w:rsid w:val="004245DE"/>
    <w:rsid w:val="00427616"/>
    <w:rsid w:val="00431DED"/>
    <w:rsid w:val="004631F5"/>
    <w:rsid w:val="0047203B"/>
    <w:rsid w:val="0047505E"/>
    <w:rsid w:val="00495186"/>
    <w:rsid w:val="004E1E86"/>
    <w:rsid w:val="004E277A"/>
    <w:rsid w:val="004E5C3D"/>
    <w:rsid w:val="004E5D10"/>
    <w:rsid w:val="00523701"/>
    <w:rsid w:val="005278C0"/>
    <w:rsid w:val="005318C0"/>
    <w:rsid w:val="005629DA"/>
    <w:rsid w:val="005A0EAC"/>
    <w:rsid w:val="005B43DD"/>
    <w:rsid w:val="005B7CC9"/>
    <w:rsid w:val="005D63B5"/>
    <w:rsid w:val="005E0B8F"/>
    <w:rsid w:val="005E4CAD"/>
    <w:rsid w:val="005F22AD"/>
    <w:rsid w:val="00627DDD"/>
    <w:rsid w:val="006521C6"/>
    <w:rsid w:val="0065300C"/>
    <w:rsid w:val="006657D5"/>
    <w:rsid w:val="006716E1"/>
    <w:rsid w:val="00683EB8"/>
    <w:rsid w:val="006D06CB"/>
    <w:rsid w:val="006D7480"/>
    <w:rsid w:val="006E5461"/>
    <w:rsid w:val="006F38E3"/>
    <w:rsid w:val="006F5C5C"/>
    <w:rsid w:val="00720867"/>
    <w:rsid w:val="007717CC"/>
    <w:rsid w:val="00776A91"/>
    <w:rsid w:val="00783994"/>
    <w:rsid w:val="00791FFF"/>
    <w:rsid w:val="00794FDE"/>
    <w:rsid w:val="007A068A"/>
    <w:rsid w:val="007A7526"/>
    <w:rsid w:val="007B4DF2"/>
    <w:rsid w:val="007D038E"/>
    <w:rsid w:val="007E2910"/>
    <w:rsid w:val="007F4D1B"/>
    <w:rsid w:val="008074B7"/>
    <w:rsid w:val="0081148C"/>
    <w:rsid w:val="00842343"/>
    <w:rsid w:val="008457A4"/>
    <w:rsid w:val="008460D2"/>
    <w:rsid w:val="00850943"/>
    <w:rsid w:val="00855D25"/>
    <w:rsid w:val="00865EC2"/>
    <w:rsid w:val="00873506"/>
    <w:rsid w:val="008A05D6"/>
    <w:rsid w:val="008A2B47"/>
    <w:rsid w:val="008A7378"/>
    <w:rsid w:val="008C5822"/>
    <w:rsid w:val="008C5BA0"/>
    <w:rsid w:val="008F7D70"/>
    <w:rsid w:val="00920E81"/>
    <w:rsid w:val="00924D22"/>
    <w:rsid w:val="00932AD5"/>
    <w:rsid w:val="00935B9C"/>
    <w:rsid w:val="00943393"/>
    <w:rsid w:val="009500BF"/>
    <w:rsid w:val="00952092"/>
    <w:rsid w:val="00984887"/>
    <w:rsid w:val="009920DF"/>
    <w:rsid w:val="009920EB"/>
    <w:rsid w:val="00996C21"/>
    <w:rsid w:val="009A068E"/>
    <w:rsid w:val="009A4F26"/>
    <w:rsid w:val="009D46A2"/>
    <w:rsid w:val="009E1B16"/>
    <w:rsid w:val="009E4801"/>
    <w:rsid w:val="009F01FB"/>
    <w:rsid w:val="009F6FB8"/>
    <w:rsid w:val="00A00747"/>
    <w:rsid w:val="00A05BB5"/>
    <w:rsid w:val="00A35E02"/>
    <w:rsid w:val="00A52193"/>
    <w:rsid w:val="00A56522"/>
    <w:rsid w:val="00A725C2"/>
    <w:rsid w:val="00AA4245"/>
    <w:rsid w:val="00AC3DB3"/>
    <w:rsid w:val="00AD7A47"/>
    <w:rsid w:val="00AE394A"/>
    <w:rsid w:val="00B0461E"/>
    <w:rsid w:val="00B111E8"/>
    <w:rsid w:val="00B2102D"/>
    <w:rsid w:val="00B24B23"/>
    <w:rsid w:val="00B35D53"/>
    <w:rsid w:val="00B70531"/>
    <w:rsid w:val="00B7170F"/>
    <w:rsid w:val="00BA538C"/>
    <w:rsid w:val="00BE30B1"/>
    <w:rsid w:val="00BE4881"/>
    <w:rsid w:val="00BE5B50"/>
    <w:rsid w:val="00BE76FE"/>
    <w:rsid w:val="00C121AC"/>
    <w:rsid w:val="00C201C1"/>
    <w:rsid w:val="00C20A35"/>
    <w:rsid w:val="00C23EB4"/>
    <w:rsid w:val="00C3168B"/>
    <w:rsid w:val="00C86C9F"/>
    <w:rsid w:val="00CA10EE"/>
    <w:rsid w:val="00CA3707"/>
    <w:rsid w:val="00D1638D"/>
    <w:rsid w:val="00D648C7"/>
    <w:rsid w:val="00D84A76"/>
    <w:rsid w:val="00DE0892"/>
    <w:rsid w:val="00DE2293"/>
    <w:rsid w:val="00DF01BE"/>
    <w:rsid w:val="00E0079C"/>
    <w:rsid w:val="00E028AC"/>
    <w:rsid w:val="00E129A5"/>
    <w:rsid w:val="00E14259"/>
    <w:rsid w:val="00E22549"/>
    <w:rsid w:val="00E54B49"/>
    <w:rsid w:val="00E723C9"/>
    <w:rsid w:val="00E72A0F"/>
    <w:rsid w:val="00E85D5C"/>
    <w:rsid w:val="00EC25E1"/>
    <w:rsid w:val="00EC71C4"/>
    <w:rsid w:val="00ED1977"/>
    <w:rsid w:val="00EE1CFE"/>
    <w:rsid w:val="00F13435"/>
    <w:rsid w:val="00F66E3F"/>
    <w:rsid w:val="00F83490"/>
    <w:rsid w:val="00F90E66"/>
    <w:rsid w:val="00FA0A7F"/>
    <w:rsid w:val="00FD57CB"/>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AAA3"/>
  <w15:docId w15:val="{F2F72355-BF88-4C8C-9B92-10C4BF8D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uiPriority w:val="99"/>
    <w:semiHidden/>
    <w:unhideWhenUsed/>
    <w:rsid w:val="005318C0"/>
    <w:rPr>
      <w:sz w:val="16"/>
      <w:szCs w:val="16"/>
    </w:rPr>
  </w:style>
  <w:style w:type="paragraph" w:styleId="CommentText">
    <w:name w:val="annotation text"/>
    <w:basedOn w:val="Normal"/>
    <w:link w:val="CommentTextChar"/>
    <w:uiPriority w:val="99"/>
    <w:semiHidden/>
    <w:unhideWhenUsed/>
    <w:rsid w:val="005318C0"/>
    <w:pPr>
      <w:spacing w:line="240" w:lineRule="auto"/>
    </w:pPr>
    <w:rPr>
      <w:sz w:val="20"/>
      <w:szCs w:val="20"/>
    </w:rPr>
  </w:style>
  <w:style w:type="character" w:customStyle="1" w:styleId="CommentTextChar">
    <w:name w:val="Comment Text Char"/>
    <w:link w:val="CommentText"/>
    <w:uiPriority w:val="99"/>
    <w:semiHidden/>
    <w:rsid w:val="005318C0"/>
    <w:rPr>
      <w:sz w:val="20"/>
      <w:szCs w:val="20"/>
    </w:rPr>
  </w:style>
  <w:style w:type="paragraph" w:styleId="CommentSubject">
    <w:name w:val="annotation subject"/>
    <w:basedOn w:val="CommentText"/>
    <w:next w:val="CommentText"/>
    <w:link w:val="CommentSubjectChar"/>
    <w:uiPriority w:val="99"/>
    <w:semiHidden/>
    <w:unhideWhenUsed/>
    <w:rsid w:val="004245DE"/>
    <w:rPr>
      <w:b/>
      <w:bCs/>
    </w:rPr>
  </w:style>
  <w:style w:type="character" w:customStyle="1" w:styleId="CommentSubjectChar">
    <w:name w:val="Comment Subject Char"/>
    <w:link w:val="CommentSubject"/>
    <w:uiPriority w:val="99"/>
    <w:semiHidden/>
    <w:rsid w:val="004245DE"/>
    <w:rPr>
      <w:b/>
      <w:bCs/>
      <w:sz w:val="20"/>
      <w:szCs w:val="20"/>
    </w:rPr>
  </w:style>
  <w:style w:type="table" w:styleId="TableGrid">
    <w:name w:val="Table Grid"/>
    <w:basedOn w:val="TableNormal"/>
    <w:uiPriority w:val="39"/>
    <w:rsid w:val="001B3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256"/>
    <w:rPr>
      <w:color w:val="0563C1"/>
      <w:u w:val="single"/>
    </w:rPr>
  </w:style>
  <w:style w:type="character" w:styleId="UnresolvedMention">
    <w:name w:val="Unresolved Mention"/>
    <w:uiPriority w:val="99"/>
    <w:semiHidden/>
    <w:unhideWhenUsed/>
    <w:rsid w:val="00253256"/>
    <w:rPr>
      <w:color w:val="605E5C"/>
      <w:shd w:val="clear" w:color="auto" w:fill="E1DFDD"/>
    </w:rPr>
  </w:style>
  <w:style w:type="character" w:styleId="FollowedHyperlink">
    <w:name w:val="FollowedHyperlink"/>
    <w:uiPriority w:val="99"/>
    <w:semiHidden/>
    <w:unhideWhenUsed/>
    <w:rsid w:val="008A05D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63244">
      <w:bodyDiv w:val="1"/>
      <w:marLeft w:val="0"/>
      <w:marRight w:val="0"/>
      <w:marTop w:val="0"/>
      <w:marBottom w:val="0"/>
      <w:divBdr>
        <w:top w:val="none" w:sz="0" w:space="0" w:color="auto"/>
        <w:left w:val="none" w:sz="0" w:space="0" w:color="auto"/>
        <w:bottom w:val="none" w:sz="0" w:space="0" w:color="auto"/>
        <w:right w:val="none" w:sz="0" w:space="0" w:color="auto"/>
      </w:divBdr>
    </w:div>
    <w:div w:id="2037079697">
      <w:bodyDiv w:val="1"/>
      <w:marLeft w:val="0"/>
      <w:marRight w:val="0"/>
      <w:marTop w:val="0"/>
      <w:marBottom w:val="0"/>
      <w:divBdr>
        <w:top w:val="none" w:sz="0" w:space="0" w:color="auto"/>
        <w:left w:val="none" w:sz="0" w:space="0" w:color="auto"/>
        <w:bottom w:val="none" w:sz="0" w:space="0" w:color="auto"/>
        <w:right w:val="none" w:sz="0" w:space="0" w:color="auto"/>
      </w:divBdr>
    </w:div>
    <w:div w:id="2060933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99D6E-67F6-43BD-B116-9DDF024F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Akerlof Berigan</cp:lastModifiedBy>
  <cp:revision>3</cp:revision>
  <cp:lastPrinted>2021-10-25T16:51:00Z</cp:lastPrinted>
  <dcterms:created xsi:type="dcterms:W3CDTF">2021-11-16T20:46:00Z</dcterms:created>
  <dcterms:modified xsi:type="dcterms:W3CDTF">2021-11-16T20:49:00Z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http://www.zotero.org/styles/the-journal-of-wildlife-management</vt:lpwstr>
  </property>
  <property fmtid="{D5CDD505-2E9C-101B-9397-08002B2CF9AE}" pid="21" name="Mendeley Recent Style Name 9_1">
    <vt:lpwstr>The Journal of Wildlife Management</vt:lpwstr>
  </property>
</Properties>
</file>