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77777777"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32127A33" w14:textId="6F1EED9A" w:rsidR="00873146"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Ornithological Applications</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89F74DF" w:rsidR="00097512" w:rsidRPr="001951C4" w:rsidRDefault="00A95B92">
      <w:pPr>
        <w:spacing w:line="480" w:lineRule="auto"/>
        <w:rPr>
          <w:rFonts w:ascii="Times New Roman" w:hAnsi="Times New Roman" w:cs="Times New Roman"/>
          <w:bCs/>
          <w:sz w:val="24"/>
          <w:szCs w:val="24"/>
        </w:rPr>
      </w:pPr>
      <w:bookmarkStart w:id="0"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necessitates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tags to collect GPS 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w:t>
      </w:r>
      <w:r w:rsidR="006B7E9C" w:rsidRPr="001951C4">
        <w:rPr>
          <w:rFonts w:ascii="Times New Roman" w:hAnsi="Times New Roman" w:cs="Times New Roman"/>
          <w:bCs/>
          <w:sz w:val="24"/>
          <w:szCs w:val="24"/>
        </w:rPr>
        <w:lastRenderedPageBreak/>
        <w:t xml:space="preserve">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r w:rsidR="00302364">
        <w:rPr>
          <w:rFonts w:ascii="Times New Roman" w:hAnsi="Times New Roman" w:cs="Times New Roman"/>
          <w:bCs/>
          <w:sz w:val="24"/>
          <w:szCs w:val="24"/>
        </w:rPr>
        <w:t xml:space="preserve">(all additional data streams) </w:t>
      </w:r>
      <w:r w:rsidR="00A04F6F" w:rsidRPr="001951C4">
        <w:rPr>
          <w:rFonts w:ascii="Times New Roman" w:hAnsi="Times New Roman" w:cs="Times New Roman"/>
          <w:bCs/>
          <w:sz w:val="24"/>
          <w:szCs w:val="24"/>
        </w:rPr>
        <w:t xml:space="preserve">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the base model</w:t>
      </w:r>
      <w:r w:rsidR="00302364">
        <w:rPr>
          <w:rFonts w:ascii="Times New Roman" w:hAnsi="Times New Roman" w:cs="Times New Roman"/>
          <w:bCs/>
          <w:sz w:val="24"/>
          <w:szCs w:val="24"/>
        </w:rPr>
        <w:t xml:space="preserve"> (only step length and turn angle)</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0"/>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0D5F12CF"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6BE43F70"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xml:space="preserve">, under </w:t>
      </w:r>
      <w:r w:rsidR="00830B58">
        <w:rPr>
          <w:rFonts w:ascii="Times New Roman" w:hAnsi="Times New Roman" w:cs="Times New Roman"/>
          <w:bCs/>
          <w:sz w:val="24"/>
          <w:szCs w:val="24"/>
        </w:rPr>
        <w:lastRenderedPageBreak/>
        <w:t>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 xml:space="preserve">(Fig. </w:t>
      </w:r>
      <w:r w:rsidR="00D365C3" w:rsidRPr="001951C4">
        <w:rPr>
          <w:rFonts w:ascii="Times New Roman" w:hAnsi="Times New Roman" w:cs="Times New Roman"/>
          <w:sz w:val="24"/>
          <w:szCs w:val="24"/>
        </w:rPr>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4184E1DE"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 xml:space="preserve">Hidden Markov models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13614E71"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Woodcock are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are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(Slezak et al. in press).</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r w:rsidR="00887397">
        <w:rPr>
          <w:rFonts w:ascii="Times New Roman" w:hAnsi="Times New Roman" w:cs="Times New Roman"/>
          <w:bCs/>
          <w:sz w:val="24"/>
          <w:szCs w:val="24"/>
        </w:rPr>
        <w:t xml:space="preserve">are of appropriate </w:t>
      </w:r>
      <w:r w:rsidR="00887397">
        <w:rPr>
          <w:rFonts w:ascii="Times New Roman" w:hAnsi="Times New Roman" w:cs="Times New Roman"/>
          <w:bCs/>
          <w:sz w:val="24"/>
          <w:szCs w:val="24"/>
        </w:rPr>
        <w:lastRenderedPageBreak/>
        <w:t xml:space="preserve">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7DA48722"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2.1 Collecting data via GPS </w:t>
      </w:r>
      <w:proofErr w:type="gramStart"/>
      <w:r w:rsidRPr="001951C4">
        <w:rPr>
          <w:rFonts w:ascii="Times New Roman" w:hAnsi="Times New Roman" w:cs="Times New Roman"/>
          <w:i/>
          <w:sz w:val="24"/>
          <w:szCs w:val="24"/>
        </w:rPr>
        <w:t>transmitters</w:t>
      </w:r>
      <w:proofErr w:type="gramEnd"/>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(Rieffenberger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Delineating spring and fall </w:t>
      </w:r>
      <w:proofErr w:type="gramStart"/>
      <w:r w:rsidRPr="001951C4">
        <w:rPr>
          <w:rFonts w:ascii="Times New Roman" w:hAnsi="Times New Roman" w:cs="Times New Roman"/>
          <w:i/>
          <w:sz w:val="24"/>
          <w:szCs w:val="24"/>
        </w:rPr>
        <w:t>migration</w:t>
      </w:r>
      <w:proofErr w:type="gramEnd"/>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2.2.2 Use of additional data streams to inform </w:t>
      </w:r>
      <w:proofErr w:type="gramStart"/>
      <w:r w:rsidRPr="001951C4">
        <w:rPr>
          <w:rFonts w:ascii="Times New Roman" w:hAnsi="Times New Roman" w:cs="Times New Roman"/>
          <w:i/>
          <w:sz w:val="24"/>
          <w:szCs w:val="24"/>
        </w:rPr>
        <w:t>HMM</w:t>
      </w:r>
      <w:r w:rsidR="008758A8" w:rsidRPr="001951C4">
        <w:rPr>
          <w:rFonts w:ascii="Times New Roman" w:hAnsi="Times New Roman" w:cs="Times New Roman"/>
          <w:i/>
          <w:sz w:val="24"/>
          <w:szCs w:val="24"/>
        </w:rPr>
        <w:t>s</w:t>
      </w:r>
      <w:proofErr w:type="gramEnd"/>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D77A6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Slezak et al.</w:t>
      </w:r>
      <w:r w:rsidR="00576F02">
        <w:rPr>
          <w:rFonts w:ascii="Times New Roman" w:hAnsi="Times New Roman" w:cs="Times New Roman"/>
          <w:sz w:val="24"/>
          <w:szCs w:val="24"/>
        </w:rPr>
        <w:t xml:space="preserve"> in press</w:t>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5ADD731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The spring male model</w:t>
      </w:r>
      <w:r w:rsidR="009D56E7" w:rsidRPr="001951C4">
        <w:rPr>
          <w:rFonts w:ascii="Times New Roman" w:hAnsi="Times New Roman" w:cs="Times New Roman"/>
          <w:sz w:val="24"/>
          <w:szCs w:val="24"/>
        </w:rPr>
        <w:t xml:space="preserve"> differed by inclusion of </w:t>
      </w:r>
      <w:r w:rsidR="001A350E" w:rsidRPr="001951C4">
        <w:rPr>
          <w:rFonts w:ascii="Times New Roman" w:hAnsi="Times New Roman" w:cs="Times New Roman"/>
          <w:sz w:val="24"/>
          <w:szCs w:val="24"/>
        </w:rPr>
        <w:t xml:space="preserve">two </w:t>
      </w:r>
      <w:r w:rsidR="009D56E7" w:rsidRPr="001951C4">
        <w:rPr>
          <w:rFonts w:ascii="Times New Roman" w:hAnsi="Times New Roman" w:cs="Times New Roman"/>
          <w:sz w:val="24"/>
          <w:szCs w:val="24"/>
        </w:rPr>
        <w:t xml:space="preserve">post-migration </w:t>
      </w:r>
      <w:r w:rsidR="001A350E" w:rsidRPr="001951C4">
        <w:rPr>
          <w:rFonts w:ascii="Times New Roman" w:hAnsi="Times New Roman" w:cs="Times New Roman"/>
          <w:sz w:val="24"/>
          <w:szCs w:val="24"/>
        </w:rPr>
        <w:t>states</w:t>
      </w:r>
      <w:r w:rsidRPr="001951C4">
        <w:rPr>
          <w:rFonts w:ascii="Times New Roman" w:hAnsi="Times New Roman" w:cs="Times New Roman"/>
          <w:sz w:val="24"/>
          <w:szCs w:val="24"/>
        </w:rPr>
        <w:t>,</w:t>
      </w:r>
      <w:r w:rsidR="001A350E" w:rsidRPr="001951C4">
        <w:rPr>
          <w:rFonts w:ascii="Times New Roman" w:hAnsi="Times New Roman" w:cs="Times New Roman"/>
          <w:sz w:val="24"/>
          <w:szCs w:val="24"/>
        </w:rPr>
        <w:t xml:space="preserve"> post-migration (frequent) and post-migration</w:t>
      </w:r>
      <w:r w:rsidR="007E7804" w:rsidRPr="001951C4">
        <w:rPr>
          <w:rFonts w:ascii="Times New Roman" w:hAnsi="Times New Roman" w:cs="Times New Roman"/>
          <w:sz w:val="24"/>
          <w:szCs w:val="24"/>
        </w:rPr>
        <w:t xml:space="preserve"> (infrequent)</w:t>
      </w:r>
      <w:r w:rsidRPr="001951C4">
        <w:rPr>
          <w:rFonts w:ascii="Times New Roman" w:hAnsi="Times New Roman" w:cs="Times New Roman"/>
          <w:sz w:val="24"/>
          <w:szCs w:val="24"/>
        </w:rPr>
        <w:t xml:space="preserve">, which males could enter in spring at the conclusion of </w:t>
      </w:r>
      <w:r w:rsidRPr="001951C4">
        <w:rPr>
          <w:rFonts w:ascii="Times New Roman" w:hAnsi="Times New Roman" w:cs="Times New Roman"/>
          <w:sz w:val="24"/>
          <w:szCs w:val="24"/>
        </w:rPr>
        <w:lastRenderedPageBreak/>
        <w:t>migration. 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6D68EF79"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3. Movement state transition diagram for each hidden Markov Model (HMM).</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1"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1"/>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16AA87DA"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069D5440"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in press).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w:t>
      </w:r>
      <w:r w:rsidR="00E66F23" w:rsidRPr="00E66F23">
        <w:rPr>
          <w:rFonts w:ascii="Times New Roman" w:hAnsi="Times New Roman" w:cs="Times New Roman"/>
          <w:bCs/>
          <w:sz w:val="24"/>
          <w:szCs w:val="24"/>
        </w:rPr>
        <w:lastRenderedPageBreak/>
        <w:t>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 xml:space="preserve">the accuracy of the spring female model (Fig.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 xml:space="preserve">breeding system (Slezak et al. in press),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songbird,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Journal of Avian Biology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Ecosphere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0983D41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Teige, D. S. Sullins,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Haukos. 2024. Lesser prairie-chicken dispersal after translocation: Implications for restoration and population connectivity. Ecology and Evolution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A. J. (1999). Dispersal, Gene Flow, and Population Structure. The Quarterly Review of Biology 74:21–45.</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Hartl, R. Kays, J. F. Kelly, and W. D. Robinson (2011). Technology on the move: recent and forthcoming innovations for tracking migratory birds. </w:t>
      </w:r>
      <w:proofErr w:type="spellStart"/>
      <w:r w:rsidRPr="001951C4">
        <w:rPr>
          <w:rFonts w:ascii="Times New Roman" w:hAnsi="Times New Roman" w:cs="Times New Roman"/>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w:t>
      </w:r>
      <w:proofErr w:type="gramStart"/>
      <w:r w:rsidRPr="001951C4">
        <w:rPr>
          <w:rFonts w:ascii="Times New Roman" w:hAnsi="Times New Roman" w:cs="Times New Roman"/>
          <w:sz w:val="24"/>
          <w:szCs w:val="24"/>
        </w:rPr>
        <w:t>captive‐bred</w:t>
      </w:r>
      <w:proofErr w:type="gramEnd"/>
      <w:r w:rsidRPr="001951C4">
        <w:rPr>
          <w:rFonts w:ascii="Times New Roman" w:hAnsi="Times New Roman" w:cs="Times New Roman"/>
          <w:sz w:val="24"/>
          <w:szCs w:val="24"/>
        </w:rPr>
        <w:t xml:space="preserve">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Ibis 159:374–389.</w:t>
      </w:r>
    </w:p>
    <w:p w14:paraId="0602659A" w14:textId="4AEAEA31"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Balkcom, B. Carpenter, G. Costanzo, J. Duguay, and K. Filkins (2024). Satellite tracking of American Woodcock reveals a gradient of migration strategies. </w:t>
      </w:r>
      <w:proofErr w:type="gramStart"/>
      <w:r w:rsidRPr="0044453E">
        <w:rPr>
          <w:rFonts w:ascii="Times New Roman" w:hAnsi="Times New Roman" w:cs="Times New Roman"/>
          <w:sz w:val="24"/>
          <w:szCs w:val="24"/>
        </w:rPr>
        <w:t>Ornithology:ukae</w:t>
      </w:r>
      <w:proofErr w:type="gramEnd"/>
      <w:r w:rsidRPr="0044453E">
        <w:rPr>
          <w:rFonts w:ascii="Times New Roman" w:hAnsi="Times New Roman" w:cs="Times New Roman"/>
          <w:sz w:val="24"/>
          <w:szCs w:val="24"/>
        </w:rPr>
        <w:t>008.</w:t>
      </w:r>
    </w:p>
    <w:p w14:paraId="2C54C3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 of California Press.</w:t>
      </w:r>
    </w:p>
    <w:p w14:paraId="4AE3C3E6"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Riou, J. Judas, M. Lawrence, and F. Launay (2011). Migratory pathways and connectivity in Asian houbara bustards: evidence from 15 years of satellite tracking. </w:t>
      </w:r>
      <w:proofErr w:type="spellStart"/>
      <w:r w:rsidRPr="001951C4">
        <w:rPr>
          <w:rFonts w:ascii="Times New Roman" w:hAnsi="Times New Roman" w:cs="Times New Roman"/>
          <w:sz w:val="24"/>
          <w:szCs w:val="24"/>
        </w:rPr>
        <w:t>PloS</w:t>
      </w:r>
      <w:proofErr w:type="spellEnd"/>
      <w:r w:rsidRPr="001951C4">
        <w:rPr>
          <w:rFonts w:ascii="Times New Roman" w:hAnsi="Times New Roman" w:cs="Times New Roman"/>
          <w:sz w:val="24"/>
          <w:szCs w:val="24"/>
        </w:rPr>
        <w:t xml:space="preserve"> one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Cooper, N. W., and P. P. Marra (2020). Hidden long-distance movements by a migratory bird. Current Biology 30:4056-4062.e3.</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Dawson, W. R. (2020). Pine Siskin (Spinus </w:t>
      </w:r>
      <w:proofErr w:type="spellStart"/>
      <w:r w:rsidRPr="001951C4">
        <w:rPr>
          <w:rFonts w:ascii="Times New Roman" w:hAnsi="Times New Roman" w:cs="Times New Roman"/>
          <w:sz w:val="24"/>
          <w:szCs w:val="24"/>
        </w:rPr>
        <w:t>pinus</w:t>
      </w:r>
      <w:proofErr w:type="spellEnd"/>
      <w:r w:rsidRPr="001951C4">
        <w:rPr>
          <w:rFonts w:ascii="Times New Roman" w:hAnsi="Times New Roman" w:cs="Times New Roman"/>
          <w:sz w:val="24"/>
          <w:szCs w:val="24"/>
        </w:rPr>
        <w:t>), version 1.0. In Birds of the World (A.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Journal of The Royal Society Interface 10:20120570.</w:t>
      </w:r>
    </w:p>
    <w:p w14:paraId="487867DE" w14:textId="2212CC4F" w:rsidR="007B7878" w:rsidRPr="001951C4" w:rsidRDefault="007B7878"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Duerr, A. E., and B. D. Watts. 2012.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D. Haukos, A. M. Tanner, D. Elmore, and S. A. Carleton (2016). Characteristics of lesser prairie-chicken (Tympanuchus </w:t>
      </w:r>
      <w:proofErr w:type="spellStart"/>
      <w:r w:rsidRPr="001951C4">
        <w:rPr>
          <w:rFonts w:ascii="Times New Roman" w:hAnsi="Times New Roman" w:cs="Times New Roman"/>
          <w:sz w:val="24"/>
          <w:szCs w:val="24"/>
        </w:rPr>
        <w:t>pallidicinctus</w:t>
      </w:r>
      <w:proofErr w:type="spellEnd"/>
      <w:r w:rsidRPr="001951C4">
        <w:rPr>
          <w:rFonts w:ascii="Times New Roman" w:hAnsi="Times New Roman" w:cs="Times New Roman"/>
          <w:sz w:val="24"/>
          <w:szCs w:val="24"/>
        </w:rPr>
        <w:t xml:space="preserve">) long-distance movements across their distribution. Ecosphere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Ligocki,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A. Rodewald, C. Wood, I. Davies, and A. Spencer (2022). eBird Status and Trends.</w:t>
      </w:r>
    </w:p>
    <w:p w14:paraId="271D71E2" w14:textId="39EEA860"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Balkcom, L. Berigan, K. Brunette, S. Clements, G. Costanzo, C. L. Graham, W. F. Harvey, M. Hook, D. L. Howell, S. Maddox, S. McWilliams, S. W. Meyer, T. C. Nichols, J. Bruce Pollard, C. Roy, J. Stiller, D. Washington, L. Williams, and E. J. Blomberg. </w:t>
      </w:r>
      <w:r w:rsidR="002248D8">
        <w:rPr>
          <w:rFonts w:ascii="Times New Roman" w:hAnsi="Times New Roman" w:cs="Times New Roman"/>
          <w:sz w:val="24"/>
          <w:szCs w:val="24"/>
        </w:rPr>
        <w:t>2024</w:t>
      </w:r>
      <w:r w:rsidRPr="001951C4">
        <w:rPr>
          <w:rFonts w:ascii="Times New Roman" w:hAnsi="Times New Roman" w:cs="Times New Roman"/>
          <w:sz w:val="24"/>
          <w:szCs w:val="24"/>
        </w:rPr>
        <w:t>. American woodcock migration phenology in eastern North America: implications for hunting season timing. The Journal of Wildlife Management n/</w:t>
      </w:r>
      <w:proofErr w:type="gramStart"/>
      <w:r w:rsidRPr="001951C4">
        <w:rPr>
          <w:rFonts w:ascii="Times New Roman" w:hAnsi="Times New Roman" w:cs="Times New Roman"/>
          <w:sz w:val="24"/>
          <w:szCs w:val="24"/>
        </w:rPr>
        <w:t>a:e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E. Nourani, K. R</w:t>
      </w:r>
      <w:proofErr w:type="gramStart"/>
      <w:r w:rsidRPr="001951C4">
        <w:rPr>
          <w:rFonts w:ascii="Times New Roman" w:hAnsi="Times New Roman" w:cs="Times New Roman"/>
          <w:sz w:val="24"/>
          <w:szCs w:val="24"/>
        </w:rPr>
        <w:t>. S</w:t>
      </w:r>
      <w:proofErr w:type="gramEnd"/>
      <w:r w:rsidRPr="001951C4">
        <w:rPr>
          <w:rFonts w:ascii="Times New Roman" w:hAnsi="Times New Roman" w:cs="Times New Roman"/>
          <w:sz w:val="24"/>
          <w:szCs w:val="24"/>
        </w:rPr>
        <w:t xml:space="preserve">. Snell, W. Fiedler, N. Linek, H.-G. Bauer, K. Thorup,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Current Biology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Learning seasonal bird movements from eBird data. Methods in Ecology and Evolution 14:923–938.</w:t>
      </w:r>
    </w:p>
    <w:p w14:paraId="0E671DC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Hoepfner, S. A. (2023). High-Frequency GPS Transmitters Allow Understanding of Breeding Shorebird Movements and Nest Survival Without Human Disturbance. [Online.] Available at https://www.proquest.com/docview/2858557102/abstract/F71320D7248F4BB4PQ/1.</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R. L. Cormier, and J. Hull (2023a). Land cover and NDVI are important predictors in habitat selection along migration for the Golden-crowned Sparrow, a temperate-zone migrating songbird. Movement Ecology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Johnson, D. S., and J. M. London (2018). crawl: an R package for fitting continuous-time correlated random walk models to animal movement data. [Online.] Available at https://doi.org/10.5281/zenodo.596464.</w:t>
      </w:r>
    </w:p>
    <w:p w14:paraId="4D0D350F" w14:textId="4985F13E" w:rsidR="00E20C1E" w:rsidRPr="001951C4"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1983. Analyzing insect movement as a correlated random walk. </w:t>
      </w:r>
      <w:proofErr w:type="spellStart"/>
      <w:r w:rsidRPr="001951C4">
        <w:rPr>
          <w:rFonts w:ascii="Times New Roman" w:hAnsi="Times New Roman" w:cs="Times New Roman"/>
          <w:sz w:val="24"/>
          <w:szCs w:val="24"/>
        </w:rPr>
        <w:t>Oecologia</w:t>
      </w:r>
      <w:proofErr w:type="spellEnd"/>
      <w:r w:rsidRPr="001951C4">
        <w:rPr>
          <w:rFonts w:ascii="Times New Roman" w:hAnsi="Times New Roman" w:cs="Times New Roman"/>
          <w:sz w:val="24"/>
          <w:szCs w:val="24"/>
        </w:rPr>
        <w:t xml:space="preserve"> 56:234–238.</w:t>
      </w:r>
    </w:p>
    <w:p w14:paraId="758500E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lastRenderedPageBreak/>
        <w:t xml:space="preserve">Klaassen,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Journal of Animal Ecology 83:176–184.</w:t>
      </w:r>
    </w:p>
    <w:p w14:paraId="2BFB87D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Langrock,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L. Thomas, D. Fortin, and J. M. Morales (2012). Flexible and practical modeling of animal telemetry data: hidden Markov models and extensions. Ecology 93:2336–2342.</w:t>
      </w:r>
    </w:p>
    <w:p w14:paraId="210C5E0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Linscott, J. A., J. G. Navedo, S. J. Clements, J. P. Loghry, J. Ruiz, B. M. Ballard, M. D. </w:t>
      </w:r>
      <w:proofErr w:type="spellStart"/>
      <w:r w:rsidRPr="001951C4">
        <w:rPr>
          <w:rFonts w:ascii="Times New Roman" w:hAnsi="Times New Roman" w:cs="Times New Roman"/>
          <w:sz w:val="24"/>
          <w:szCs w:val="24"/>
        </w:rPr>
        <w:t>Weegman</w:t>
      </w:r>
      <w:proofErr w:type="spellEnd"/>
      <w:r w:rsidRPr="001951C4">
        <w:rPr>
          <w:rFonts w:ascii="Times New Roman" w:hAnsi="Times New Roman" w:cs="Times New Roman"/>
          <w:sz w:val="24"/>
          <w:szCs w:val="24"/>
        </w:rPr>
        <w:t>, and N. R. Senner (2022). Compensation for wind drift prevails for a shorebird on a long-distance, transoceanic flight. Movement Ecology 10:11.</w:t>
      </w:r>
    </w:p>
    <w:p w14:paraId="727F0395"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w:t>
      </w:r>
      <w:proofErr w:type="gramStart"/>
      <w:r w:rsidRPr="001951C4">
        <w:rPr>
          <w:rFonts w:ascii="Times New Roman" w:hAnsi="Times New Roman" w:cs="Times New Roman"/>
          <w:sz w:val="24"/>
          <w:szCs w:val="24"/>
        </w:rPr>
        <w:t>sexual</w:t>
      </w:r>
      <w:proofErr w:type="gramEnd"/>
      <w:r w:rsidRPr="001951C4">
        <w:rPr>
          <w:rFonts w:ascii="Times New Roman" w:hAnsi="Times New Roman" w:cs="Times New Roman"/>
          <w:sz w:val="24"/>
          <w:szCs w:val="24"/>
        </w:rPr>
        <w:t xml:space="preserve">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Bird Study 69:39–52.</w:t>
      </w:r>
    </w:p>
    <w:p w14:paraId="0DB9665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Biology letters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1951C4">
        <w:rPr>
          <w:rFonts w:ascii="Times New Roman" w:hAnsi="Times New Roman" w:cs="Times New Roman"/>
          <w:sz w:val="24"/>
          <w:szCs w:val="24"/>
        </w:rPr>
        <w:t>Scolopax</w:t>
      </w:r>
      <w:proofErr w:type="spellEnd"/>
      <w:r w:rsidRPr="001951C4">
        <w:rPr>
          <w:rFonts w:ascii="Times New Roman" w:hAnsi="Times New Roman" w:cs="Times New Roman"/>
          <w:sz w:val="24"/>
          <w:szCs w:val="24"/>
        </w:rPr>
        <w:t xml:space="preserve"> minor), version 1.0. In Birds of the World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McAuley, D. G., J. R. Longcore, and G. F. Sepik (1993). Techniques for Research into Woodcocks: Experiences and Recommendations. Proceedings of the eighth American woodcock symposium.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R package for generalized hidden Markov models of animal movement. Methods in Ecology and Evolution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Mills, K. J., B. R. Patterson, and D. L. Murray (2006). Effects of variable sampling frequencies on GPS transmitter efficiency and estimated wolf home range size and movement distance. Wildlife Society Bulletin 34:1463–1469.</w:t>
      </w:r>
    </w:p>
    <w:p w14:paraId="54AAF488"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Moore, J. D., D. E. Andersen, T. Cooper, J. P. Duguay, S. L. Oldenburger, C. A. Stewart, and D. G. Krementz (2021). Migration phenology and patterns of American woodcock in central North America derived using satellite telemetry. Wildlife Biology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J. L. Frair, J. G. Kie, R. A. Powell, E. H. Merrill, and D. T. Haydon (2010). Building the bridge between animal movement and population dynamics. Philosophical Transactions of the Royal Society B: Biological Sciences 365:2289–2301.</w:t>
      </w:r>
    </w:p>
    <w:p w14:paraId="3D73D88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Moskát</w:t>
      </w:r>
      <w:proofErr w:type="spellEnd"/>
      <w:r w:rsidRPr="001951C4">
        <w:rPr>
          <w:rFonts w:ascii="Times New Roman" w:hAnsi="Times New Roman" w:cs="Times New Roman"/>
          <w:sz w:val="24"/>
          <w:szCs w:val="24"/>
        </w:rPr>
        <w:t>, C., M. Bán, A. Fülöp, J. Bereczki, and M. E. Hauber (2019). Bimodal habitat use in brood parasitic Common Cuckoos (</w:t>
      </w:r>
      <w:proofErr w:type="spellStart"/>
      <w:r w:rsidRPr="001951C4">
        <w:rPr>
          <w:rFonts w:ascii="Times New Roman" w:hAnsi="Times New Roman" w:cs="Times New Roman"/>
          <w:sz w:val="24"/>
          <w:szCs w:val="24"/>
        </w:rPr>
        <w:t>Cuculus</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canorus</w:t>
      </w:r>
      <w:proofErr w:type="spellEnd"/>
      <w:r w:rsidRPr="001951C4">
        <w:rPr>
          <w:rFonts w:ascii="Times New Roman" w:hAnsi="Times New Roman" w:cs="Times New Roman"/>
          <w:sz w:val="24"/>
          <w:szCs w:val="24"/>
        </w:rPr>
        <w:t xml:space="preserve">) revealed by GPS telemetry. 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11717F8C"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lastRenderedPageBreak/>
        <w:t xml:space="preserve">Nicol, S., M. Cros, N. Peyrard, R. Sabbadin,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2023.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A hidden semi‐Markov model for inferring the structure of migratory bird networks from count data. Methods in Ecology and Evolution 14:265–279.</w:t>
      </w:r>
    </w:p>
    <w:p w14:paraId="27E01E2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Journal of Applied Ecology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7865944C"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Thesis. Kansas State University, Manhattan, Kansas.</w:t>
      </w:r>
    </w:p>
    <w:p w14:paraId="7953237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Rieffenberger,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Woodcock research and management:33–35.</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Sheldon, W. G. (1960). A method of mist netting woodcocks in summer. Bird-banding 31:130–135.</w:t>
      </w:r>
    </w:p>
    <w:p w14:paraId="5C703DFE" w14:textId="4C359E2D"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Slezak, C. R., E. J. Blomberg, L. A. Berigan, R. Darling, A. C. Fish, S. J. Clements, A. M. Roth, R. D. Rau, G. Balkcom, B. Carpenter, G. Costanzo, et al. (In </w:t>
      </w:r>
      <w:r w:rsidR="002025A1" w:rsidRPr="001951C4">
        <w:rPr>
          <w:rFonts w:ascii="Times New Roman" w:hAnsi="Times New Roman" w:cs="Times New Roman"/>
          <w:sz w:val="24"/>
          <w:szCs w:val="24"/>
        </w:rPr>
        <w:t>press</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1951C4">
        <w:rPr>
          <w:rFonts w:ascii="Times New Roman" w:hAnsi="Times New Roman" w:cs="Times New Roman"/>
          <w:sz w:val="24"/>
          <w:szCs w:val="24"/>
        </w:rPr>
        <w:t>Proceedings of the Royal Society B.</w:t>
      </w:r>
    </w:p>
    <w:p w14:paraId="17BA285E" w14:textId="1FA6F280"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Stafford, J. D., A. K. Janke, M. J. Anteau, A. T. Pearse, A. D. Fox, J. Elmberg, J. N. Straub, M. W. Eichholz, and C. Arzel. 2014. Spring migration of waterfowl in the northern hemisphere: a conservation perspective. Wildfowl:70–85.</w:t>
      </w:r>
    </w:p>
    <w:p w14:paraId="1D846B9C" w14:textId="1CCA138B" w:rsidR="00086A0D" w:rsidRPr="001951C4" w:rsidRDefault="00086A0D" w:rsidP="000F7415">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Vanderhoff,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xml:space="preserve">, and F. C. James. 2020. American Robin (Turdus </w:t>
      </w:r>
      <w:proofErr w:type="spellStart"/>
      <w:r w:rsidRPr="001951C4">
        <w:rPr>
          <w:rFonts w:ascii="Times New Roman" w:hAnsi="Times New Roman" w:cs="Times New Roman"/>
          <w:sz w:val="24"/>
          <w:szCs w:val="24"/>
        </w:rPr>
        <w:t>migratorius</w:t>
      </w:r>
      <w:proofErr w:type="spellEnd"/>
      <w:r w:rsidRPr="001951C4">
        <w:rPr>
          <w:rFonts w:ascii="Times New Roman" w:hAnsi="Times New Roman" w:cs="Times New Roman"/>
          <w:sz w:val="24"/>
          <w:szCs w:val="24"/>
        </w:rPr>
        <w:t>), version 1.0.</w:t>
      </w:r>
      <w:r w:rsidR="000F7415" w:rsidRPr="001951C4">
        <w:rPr>
          <w:rFonts w:ascii="Times New Roman" w:hAnsi="Times New Roman" w:cs="Times New Roman"/>
          <w:sz w:val="24"/>
          <w:szCs w:val="24"/>
        </w:rPr>
        <w:t xml:space="preserve"> </w:t>
      </w:r>
      <w:r w:rsidRPr="001951C4">
        <w:rPr>
          <w:rFonts w:ascii="Times New Roman" w:hAnsi="Times New Roman" w:cs="Times New Roman"/>
          <w:sz w:val="24"/>
          <w:szCs w:val="24"/>
        </w:rPr>
        <w:t>P. G. Rodewald, editor. Birds of the World.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1951C4">
        <w:rPr>
          <w:rFonts w:ascii="Times New Roman" w:hAnsi="Times New Roman" w:cs="Times New Roman"/>
          <w:sz w:val="24"/>
          <w:szCs w:val="24"/>
        </w:rPr>
        <w:t>Euphagus</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carolinus</w:t>
      </w:r>
      <w:proofErr w:type="spellEnd"/>
      <w:r w:rsidRPr="001951C4">
        <w:rPr>
          <w:rFonts w:ascii="Times New Roman" w:hAnsi="Times New Roman" w:cs="Times New Roman"/>
          <w:sz w:val="24"/>
          <w:szCs w:val="24"/>
        </w:rPr>
        <w:t>) revealed through archival GPS tags. Avian Conservation &amp; Ecology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Common Diving Petrels (</w:t>
      </w:r>
      <w:proofErr w:type="spellStart"/>
      <w:r w:rsidRPr="001951C4">
        <w:rPr>
          <w:rFonts w:ascii="Times New Roman" w:hAnsi="Times New Roman" w:cs="Times New Roman"/>
          <w:sz w:val="24"/>
          <w:szCs w:val="24"/>
        </w:rPr>
        <w:t>Pelecanoides</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urinatrix</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urinatrix</w:t>
      </w:r>
      <w:proofErr w:type="spellEnd"/>
      <w:r w:rsidRPr="001951C4">
        <w:rPr>
          <w:rFonts w:ascii="Times New Roman" w:hAnsi="Times New Roman" w:cs="Times New Roman"/>
          <w:sz w:val="24"/>
          <w:szCs w:val="24"/>
        </w:rPr>
        <w:t>). Emu - Austral Ornithology 119:126–137.</w:t>
      </w:r>
    </w:p>
    <w:p w14:paraId="17EC9D3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p>
    <w:p w14:paraId="6B582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and I. L. MacDonald (2008). Modeling time series of animal behavior by means of a latent‐state model with feedback. Biometrics 64:807–815.</w:t>
      </w:r>
    </w:p>
    <w:p w14:paraId="24EEE1DF" w14:textId="296C0605" w:rsidR="009943B0" w:rsidRPr="001951C4" w:rsidRDefault="009943B0">
      <w:pPr>
        <w:rPr>
          <w:rFonts w:ascii="Times New Roman" w:hAnsi="Times New Roman" w:cs="Times New Roman"/>
          <w:sz w:val="24"/>
          <w:szCs w:val="24"/>
        </w:rPr>
      </w:pPr>
    </w:p>
    <w:sectPr w:rsidR="009943B0" w:rsidRPr="001951C4">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A9A7" w14:textId="77777777" w:rsidR="0074234E" w:rsidRDefault="0074234E">
      <w:pPr>
        <w:spacing w:after="0" w:line="240" w:lineRule="auto"/>
      </w:pPr>
      <w:r>
        <w:separator/>
      </w:r>
    </w:p>
  </w:endnote>
  <w:endnote w:type="continuationSeparator" w:id="0">
    <w:p w14:paraId="02A66B3D" w14:textId="77777777" w:rsidR="0074234E" w:rsidRDefault="0074234E">
      <w:pPr>
        <w:spacing w:after="0" w:line="240" w:lineRule="auto"/>
      </w:pPr>
      <w:r>
        <w:continuationSeparator/>
      </w:r>
    </w:p>
  </w:endnote>
  <w:endnote w:type="continuationNotice" w:id="1">
    <w:p w14:paraId="77F4CDE2" w14:textId="77777777" w:rsidR="0074234E" w:rsidRDefault="007423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4BB64" w14:textId="77777777" w:rsidR="0074234E" w:rsidRDefault="0074234E">
      <w:pPr>
        <w:spacing w:after="0" w:line="240" w:lineRule="auto"/>
      </w:pPr>
      <w:r>
        <w:separator/>
      </w:r>
    </w:p>
  </w:footnote>
  <w:footnote w:type="continuationSeparator" w:id="0">
    <w:p w14:paraId="29E86FB6" w14:textId="77777777" w:rsidR="0074234E" w:rsidRDefault="0074234E">
      <w:pPr>
        <w:spacing w:after="0" w:line="240" w:lineRule="auto"/>
      </w:pPr>
      <w:r>
        <w:continuationSeparator/>
      </w:r>
    </w:p>
  </w:footnote>
  <w:footnote w:type="continuationNotice" w:id="1">
    <w:p w14:paraId="3E724274" w14:textId="77777777" w:rsidR="0074234E" w:rsidRDefault="007423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FA1"/>
    <w:rsid w:val="00047999"/>
    <w:rsid w:val="00047B43"/>
    <w:rsid w:val="00051691"/>
    <w:rsid w:val="00051994"/>
    <w:rsid w:val="00051E81"/>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EAF"/>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780A"/>
    <w:rsid w:val="002424DD"/>
    <w:rsid w:val="002437B7"/>
    <w:rsid w:val="00243FE5"/>
    <w:rsid w:val="0024514B"/>
    <w:rsid w:val="00245C5B"/>
    <w:rsid w:val="00245FAC"/>
    <w:rsid w:val="00246144"/>
    <w:rsid w:val="00247798"/>
    <w:rsid w:val="00247CDC"/>
    <w:rsid w:val="002500E4"/>
    <w:rsid w:val="002508C5"/>
    <w:rsid w:val="00250C0E"/>
    <w:rsid w:val="00252763"/>
    <w:rsid w:val="00253A51"/>
    <w:rsid w:val="00254056"/>
    <w:rsid w:val="00254177"/>
    <w:rsid w:val="00255610"/>
    <w:rsid w:val="002557DD"/>
    <w:rsid w:val="00255A25"/>
    <w:rsid w:val="002574F7"/>
    <w:rsid w:val="00257B27"/>
    <w:rsid w:val="00257DC4"/>
    <w:rsid w:val="002620B6"/>
    <w:rsid w:val="002623B5"/>
    <w:rsid w:val="00262C8A"/>
    <w:rsid w:val="002641E0"/>
    <w:rsid w:val="0026477C"/>
    <w:rsid w:val="00266227"/>
    <w:rsid w:val="002703B2"/>
    <w:rsid w:val="0027046A"/>
    <w:rsid w:val="00270AFE"/>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70FC3"/>
    <w:rsid w:val="004728CB"/>
    <w:rsid w:val="004729EB"/>
    <w:rsid w:val="00472EB8"/>
    <w:rsid w:val="00473C55"/>
    <w:rsid w:val="0047430B"/>
    <w:rsid w:val="0047463A"/>
    <w:rsid w:val="0047538B"/>
    <w:rsid w:val="00475B20"/>
    <w:rsid w:val="0047769B"/>
    <w:rsid w:val="004801F4"/>
    <w:rsid w:val="0048083D"/>
    <w:rsid w:val="0048286C"/>
    <w:rsid w:val="00483607"/>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3409"/>
    <w:rsid w:val="004B37A1"/>
    <w:rsid w:val="004B3837"/>
    <w:rsid w:val="004B57A3"/>
    <w:rsid w:val="004B6600"/>
    <w:rsid w:val="004C03E5"/>
    <w:rsid w:val="004C1B4B"/>
    <w:rsid w:val="004C1F4C"/>
    <w:rsid w:val="004C22AB"/>
    <w:rsid w:val="004C22D6"/>
    <w:rsid w:val="004C2F30"/>
    <w:rsid w:val="004C35B3"/>
    <w:rsid w:val="004C3C25"/>
    <w:rsid w:val="004C4980"/>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549B"/>
    <w:rsid w:val="004E5EC1"/>
    <w:rsid w:val="004E7818"/>
    <w:rsid w:val="004F02C3"/>
    <w:rsid w:val="004F07F5"/>
    <w:rsid w:val="004F0872"/>
    <w:rsid w:val="004F095E"/>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9F9"/>
    <w:rsid w:val="00536C63"/>
    <w:rsid w:val="0053764D"/>
    <w:rsid w:val="00537847"/>
    <w:rsid w:val="00540EE8"/>
    <w:rsid w:val="00541178"/>
    <w:rsid w:val="005415D6"/>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2983"/>
    <w:rsid w:val="005E378F"/>
    <w:rsid w:val="005E3927"/>
    <w:rsid w:val="005E3D27"/>
    <w:rsid w:val="005E3E98"/>
    <w:rsid w:val="005E5255"/>
    <w:rsid w:val="005E5BAE"/>
    <w:rsid w:val="005E6722"/>
    <w:rsid w:val="005E7353"/>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600A"/>
    <w:rsid w:val="00656AB9"/>
    <w:rsid w:val="0065782E"/>
    <w:rsid w:val="006579BB"/>
    <w:rsid w:val="0066056F"/>
    <w:rsid w:val="0066067C"/>
    <w:rsid w:val="00660A2B"/>
    <w:rsid w:val="0066129E"/>
    <w:rsid w:val="00661695"/>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F6"/>
    <w:rsid w:val="006731EA"/>
    <w:rsid w:val="00674C74"/>
    <w:rsid w:val="00675747"/>
    <w:rsid w:val="006770DB"/>
    <w:rsid w:val="0068037E"/>
    <w:rsid w:val="006806E5"/>
    <w:rsid w:val="00680F95"/>
    <w:rsid w:val="006816ED"/>
    <w:rsid w:val="006818E9"/>
    <w:rsid w:val="00681AC6"/>
    <w:rsid w:val="00684468"/>
    <w:rsid w:val="0068455F"/>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9CE"/>
    <w:rsid w:val="006C4DC9"/>
    <w:rsid w:val="006C544E"/>
    <w:rsid w:val="006C5F13"/>
    <w:rsid w:val="006C6433"/>
    <w:rsid w:val="006C6498"/>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50FC4"/>
    <w:rsid w:val="00751152"/>
    <w:rsid w:val="007523BC"/>
    <w:rsid w:val="00752A34"/>
    <w:rsid w:val="0075422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535F"/>
    <w:rsid w:val="007753F3"/>
    <w:rsid w:val="00775C44"/>
    <w:rsid w:val="00780D8F"/>
    <w:rsid w:val="00781C17"/>
    <w:rsid w:val="00783556"/>
    <w:rsid w:val="00783B0A"/>
    <w:rsid w:val="00783F13"/>
    <w:rsid w:val="00785AFB"/>
    <w:rsid w:val="00785F96"/>
    <w:rsid w:val="007872C1"/>
    <w:rsid w:val="00791432"/>
    <w:rsid w:val="0079146D"/>
    <w:rsid w:val="00791F74"/>
    <w:rsid w:val="00792604"/>
    <w:rsid w:val="00792C4A"/>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5134"/>
    <w:rsid w:val="007F6692"/>
    <w:rsid w:val="007F6C0C"/>
    <w:rsid w:val="007F6D92"/>
    <w:rsid w:val="007F710D"/>
    <w:rsid w:val="00800739"/>
    <w:rsid w:val="00800946"/>
    <w:rsid w:val="00800C64"/>
    <w:rsid w:val="008012CF"/>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700B"/>
    <w:rsid w:val="00957337"/>
    <w:rsid w:val="0096025C"/>
    <w:rsid w:val="009604C4"/>
    <w:rsid w:val="0096061E"/>
    <w:rsid w:val="00960D4A"/>
    <w:rsid w:val="00960F6D"/>
    <w:rsid w:val="00961504"/>
    <w:rsid w:val="0096298B"/>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4B75"/>
    <w:rsid w:val="00AA683D"/>
    <w:rsid w:val="00AA7296"/>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6BF"/>
    <w:rsid w:val="00B65507"/>
    <w:rsid w:val="00B65FD0"/>
    <w:rsid w:val="00B66410"/>
    <w:rsid w:val="00B666F0"/>
    <w:rsid w:val="00B66864"/>
    <w:rsid w:val="00B67235"/>
    <w:rsid w:val="00B6775E"/>
    <w:rsid w:val="00B67D98"/>
    <w:rsid w:val="00B70D0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52442"/>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F3F"/>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3D58"/>
    <w:rsid w:val="00D452BA"/>
    <w:rsid w:val="00D45356"/>
    <w:rsid w:val="00D45BCF"/>
    <w:rsid w:val="00D4673A"/>
    <w:rsid w:val="00D46AB1"/>
    <w:rsid w:val="00D47881"/>
    <w:rsid w:val="00D47AC8"/>
    <w:rsid w:val="00D47EB0"/>
    <w:rsid w:val="00D50946"/>
    <w:rsid w:val="00D514B2"/>
    <w:rsid w:val="00D51B4C"/>
    <w:rsid w:val="00D52237"/>
    <w:rsid w:val="00D52CBC"/>
    <w:rsid w:val="00D531F1"/>
    <w:rsid w:val="00D5353A"/>
    <w:rsid w:val="00D5397D"/>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506"/>
    <w:rsid w:val="00D930D1"/>
    <w:rsid w:val="00D932B7"/>
    <w:rsid w:val="00D93477"/>
    <w:rsid w:val="00D945F1"/>
    <w:rsid w:val="00D95140"/>
    <w:rsid w:val="00D96645"/>
    <w:rsid w:val="00D96B6A"/>
    <w:rsid w:val="00DA13AD"/>
    <w:rsid w:val="00DA20C5"/>
    <w:rsid w:val="00DA276A"/>
    <w:rsid w:val="00DA3270"/>
    <w:rsid w:val="00DA5D79"/>
    <w:rsid w:val="00DA5DA0"/>
    <w:rsid w:val="00DA5E93"/>
    <w:rsid w:val="00DA63E9"/>
    <w:rsid w:val="00DA734A"/>
    <w:rsid w:val="00DB04DC"/>
    <w:rsid w:val="00DB0BC6"/>
    <w:rsid w:val="00DB365A"/>
    <w:rsid w:val="00DB3A49"/>
    <w:rsid w:val="00DB45D8"/>
    <w:rsid w:val="00DB5C49"/>
    <w:rsid w:val="00DB6AA7"/>
    <w:rsid w:val="00DB6B48"/>
    <w:rsid w:val="00DB6F21"/>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9E8"/>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A27"/>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3472"/>
    <w:rsid w:val="00F03908"/>
    <w:rsid w:val="00F03C9F"/>
    <w:rsid w:val="00F0406D"/>
    <w:rsid w:val="00F04352"/>
    <w:rsid w:val="00F0525A"/>
    <w:rsid w:val="00F058D3"/>
    <w:rsid w:val="00F06386"/>
    <w:rsid w:val="00F071B8"/>
    <w:rsid w:val="00F073DB"/>
    <w:rsid w:val="00F074F8"/>
    <w:rsid w:val="00F0757B"/>
    <w:rsid w:val="00F10B41"/>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D68"/>
    <w:rsid w:val="00F673A4"/>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83B"/>
    <w:rsid w:val="00F95D4B"/>
    <w:rsid w:val="00F96FA1"/>
    <w:rsid w:val="00F974B9"/>
    <w:rsid w:val="00F9788A"/>
    <w:rsid w:val="00FA0001"/>
    <w:rsid w:val="00FA0116"/>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9C5"/>
    <w:rsid w:val="00FD791D"/>
    <w:rsid w:val="00FE041F"/>
    <w:rsid w:val="00FE0DFE"/>
    <w:rsid w:val="00FE0FF1"/>
    <w:rsid w:val="00FE1A64"/>
    <w:rsid w:val="00FE1E5C"/>
    <w:rsid w:val="00FE289F"/>
    <w:rsid w:val="00FE2A12"/>
    <w:rsid w:val="00FE3449"/>
    <w:rsid w:val="00FE3F89"/>
    <w:rsid w:val="00FE434C"/>
    <w:rsid w:val="00FE615C"/>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36</Pages>
  <Words>8211</Words>
  <Characters>46803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Liam Akerlof Berigan</cp:lastModifiedBy>
  <cp:revision>137</cp:revision>
  <cp:lastPrinted>2024-03-15T15:06:00Z</cp:lastPrinted>
  <dcterms:created xsi:type="dcterms:W3CDTF">2024-03-13T13:15:00Z</dcterms:created>
  <dcterms:modified xsi:type="dcterms:W3CDTF">2024-03-15T17:53:00Z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id="vWRaxv6h"/&gt;&lt;style id="http://www.zotero.org/styles/the-condor" hasBibliography="1" bibliographyStyleHasBeenSet="1"/&gt;&lt;prefs&gt;&lt;pref name="fieldType" value="Field"/&gt;&lt;/prefs&gt;&lt;/data&gt;</vt:lpwstr>
  </property>
</Properties>
</file>