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8CCD2" w14:textId="77777777" w:rsidR="009847B8" w:rsidRPr="001951C4" w:rsidRDefault="009847B8" w:rsidP="009847B8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</w:rPr>
        <w:t xml:space="preserve">Table 1. </w:t>
      </w:r>
      <w:r>
        <w:rPr>
          <w:rFonts w:cs="Times New Roman"/>
          <w:szCs w:val="24"/>
        </w:rPr>
        <w:t>Data streams</w:t>
      </w:r>
      <w:r w:rsidRPr="001951C4">
        <w:rPr>
          <w:rFonts w:cs="Times New Roman"/>
          <w:szCs w:val="24"/>
        </w:rPr>
        <w:t xml:space="preserve"> </w:t>
      </w:r>
      <w:proofErr w:type="gramStart"/>
      <w:r w:rsidRPr="001951C4">
        <w:rPr>
          <w:rFonts w:cs="Times New Roman"/>
          <w:szCs w:val="24"/>
        </w:rPr>
        <w:t>used</w:t>
      </w:r>
      <w:proofErr w:type="gramEnd"/>
      <w:r w:rsidRPr="001951C4">
        <w:rPr>
          <w:rFonts w:cs="Times New Roman"/>
          <w:szCs w:val="24"/>
        </w:rPr>
        <w:t xml:space="preserve"> to delineate movement states in hidden Markov </w:t>
      </w:r>
      <w:r>
        <w:rPr>
          <w:rFonts w:cs="Times New Roman"/>
          <w:szCs w:val="24"/>
        </w:rPr>
        <w:t>m</w:t>
      </w:r>
      <w:r w:rsidRPr="001951C4">
        <w:rPr>
          <w:rFonts w:cs="Times New Roman"/>
          <w:szCs w:val="24"/>
        </w:rPr>
        <w:t xml:space="preserve">odels (HMMs), and the type of distribution fit to each </w:t>
      </w:r>
      <w:r>
        <w:rPr>
          <w:rFonts w:cs="Times New Roman"/>
          <w:szCs w:val="24"/>
        </w:rPr>
        <w:t>data stream</w:t>
      </w:r>
      <w:r w:rsidRPr="001951C4">
        <w:rPr>
          <w:rFonts w:cs="Times New Roman"/>
          <w:szCs w:val="24"/>
        </w:rPr>
        <w:t xml:space="preserve"> in the HMMs. Data streams are categorized by their appearance in the base and full models, with the base model using only the 3 core data streams and the full model using all 9 data streams. Point-specific attributes (latitude, ordinal day, distance from start, breeding range, </w:t>
      </w:r>
      <w:proofErr w:type="gramStart"/>
      <w:r w:rsidRPr="001951C4">
        <w:rPr>
          <w:rFonts w:cs="Times New Roman"/>
          <w:szCs w:val="24"/>
        </w:rPr>
        <w:t>log(</w:t>
      </w:r>
      <w:proofErr w:type="gramEnd"/>
      <w:r w:rsidRPr="001951C4">
        <w:rPr>
          <w:rFonts w:cs="Times New Roman"/>
          <w:szCs w:val="24"/>
        </w:rPr>
        <w:t>distance to nearest points), residence time) are based on the woodcock’s location at the beginning of the step.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bottom w:w="72" w:type="dxa"/>
        </w:tblCellMar>
        <w:tblLook w:val="0400" w:firstRow="0" w:lastRow="0" w:firstColumn="0" w:lastColumn="0" w:noHBand="0" w:noVBand="1"/>
      </w:tblPr>
      <w:tblGrid>
        <w:gridCol w:w="3240"/>
        <w:gridCol w:w="1975"/>
        <w:gridCol w:w="4135"/>
      </w:tblGrid>
      <w:tr w:rsidR="009847B8" w:rsidRPr="001951C4" w14:paraId="690D3651" w14:textId="77777777" w:rsidTr="004E19A7">
        <w:tc>
          <w:tcPr>
            <w:tcW w:w="3240" w:type="dxa"/>
            <w:tcBorders>
              <w:left w:val="nil"/>
              <w:bottom w:val="single" w:sz="4" w:space="0" w:color="000000"/>
              <w:right w:val="nil"/>
            </w:tcBorders>
          </w:tcPr>
          <w:p w14:paraId="68E65506" w14:textId="77777777" w:rsidR="009847B8" w:rsidRPr="001951C4" w:rsidRDefault="009847B8" w:rsidP="004E19A7">
            <w:pPr>
              <w:rPr>
                <w:rFonts w:cs="Times New Roman"/>
                <w:b/>
                <w:szCs w:val="24"/>
                <w:vertAlign w:val="superscript"/>
              </w:rPr>
            </w:pPr>
            <w:r>
              <w:rPr>
                <w:rFonts w:cs="Times New Roman"/>
                <w:b/>
                <w:szCs w:val="24"/>
              </w:rPr>
              <w:t>Data stream</w:t>
            </w:r>
          </w:p>
        </w:tc>
        <w:tc>
          <w:tcPr>
            <w:tcW w:w="1975" w:type="dxa"/>
            <w:tcBorders>
              <w:left w:val="nil"/>
              <w:bottom w:val="single" w:sz="4" w:space="0" w:color="000000"/>
              <w:right w:val="nil"/>
            </w:tcBorders>
          </w:tcPr>
          <w:p w14:paraId="6758C4FB" w14:textId="77777777" w:rsidR="009847B8" w:rsidRPr="001951C4" w:rsidRDefault="009847B8" w:rsidP="004E19A7">
            <w:pPr>
              <w:rPr>
                <w:rFonts w:cs="Times New Roman"/>
                <w:b/>
                <w:szCs w:val="24"/>
                <w:vertAlign w:val="superscript"/>
              </w:rPr>
            </w:pPr>
            <w:r w:rsidRPr="001951C4">
              <w:rPr>
                <w:rFonts w:cs="Times New Roman"/>
                <w:b/>
                <w:szCs w:val="24"/>
              </w:rPr>
              <w:t>Distribution</w:t>
            </w:r>
          </w:p>
        </w:tc>
        <w:tc>
          <w:tcPr>
            <w:tcW w:w="4135" w:type="dxa"/>
            <w:tcBorders>
              <w:left w:val="nil"/>
              <w:bottom w:val="single" w:sz="4" w:space="0" w:color="000000"/>
              <w:right w:val="nil"/>
            </w:tcBorders>
          </w:tcPr>
          <w:p w14:paraId="5389D069" w14:textId="77777777" w:rsidR="009847B8" w:rsidRPr="001951C4" w:rsidRDefault="009847B8" w:rsidP="004E19A7">
            <w:pPr>
              <w:rPr>
                <w:rFonts w:cs="Times New Roman"/>
                <w:b/>
                <w:szCs w:val="24"/>
                <w:vertAlign w:val="superscript"/>
              </w:rPr>
            </w:pPr>
            <w:r w:rsidRPr="001951C4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9847B8" w:rsidRPr="001951C4" w14:paraId="30D01BE0" w14:textId="77777777" w:rsidTr="004E19A7"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14:paraId="3AE9AA07" w14:textId="77777777" w:rsidR="009847B8" w:rsidRPr="001951C4" w:rsidRDefault="009847B8" w:rsidP="004E19A7">
            <w:pPr>
              <w:rPr>
                <w:rFonts w:cs="Times New Roman"/>
                <w:i/>
                <w:iCs/>
                <w:szCs w:val="24"/>
              </w:rPr>
            </w:pPr>
            <w:r w:rsidRPr="001951C4">
              <w:rPr>
                <w:rFonts w:cs="Times New Roman"/>
                <w:i/>
                <w:iCs/>
                <w:szCs w:val="24"/>
              </w:rPr>
              <w:t>Base &amp; Full Model</w:t>
            </w:r>
          </w:p>
        </w:tc>
        <w:tc>
          <w:tcPr>
            <w:tcW w:w="1975" w:type="dxa"/>
            <w:tcBorders>
              <w:left w:val="nil"/>
              <w:bottom w:val="nil"/>
              <w:right w:val="nil"/>
            </w:tcBorders>
          </w:tcPr>
          <w:p w14:paraId="312C97E6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</w:p>
        </w:tc>
        <w:tc>
          <w:tcPr>
            <w:tcW w:w="4135" w:type="dxa"/>
            <w:tcBorders>
              <w:left w:val="nil"/>
              <w:bottom w:val="nil"/>
              <w:right w:val="nil"/>
            </w:tcBorders>
          </w:tcPr>
          <w:p w14:paraId="16CC25BA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</w:p>
        </w:tc>
      </w:tr>
      <w:tr w:rsidR="009847B8" w:rsidRPr="001951C4" w14:paraId="0F13F7FD" w14:textId="77777777" w:rsidTr="004E19A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ACA28E8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 xml:space="preserve">    Step length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78901F86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Gamma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4C165050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Length of the current step</w:t>
            </w:r>
          </w:p>
        </w:tc>
      </w:tr>
      <w:tr w:rsidR="009847B8" w:rsidRPr="001951C4" w14:paraId="511A926B" w14:textId="77777777" w:rsidTr="004E19A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C1D601B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 xml:space="preserve">    Turn angle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DFCB251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Wrapped Cauchy</w:t>
            </w:r>
            <w:r>
              <w:rPr>
                <w:rFonts w:cs="Times New Roman"/>
                <w:szCs w:val="24"/>
              </w:rPr>
              <w:t xml:space="preserve"> </w:t>
            </w:r>
            <w:r w:rsidRPr="008F1195">
              <w:rPr>
                <w:rFonts w:cs="Times New Roman"/>
              </w:rPr>
              <w:t>[42]</w:t>
            </w:r>
            <w:r w:rsidRPr="001951C4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4251A458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Angle between the current and previous step</w:t>
            </w:r>
          </w:p>
        </w:tc>
      </w:tr>
      <w:tr w:rsidR="009847B8" w:rsidRPr="001951C4" w14:paraId="266D8D9C" w14:textId="77777777" w:rsidTr="004E19A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36FF388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 xml:space="preserve">    Step length 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78DE6804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074969D4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Binomial indicating if the current step length is ≥16.1 km. Implemented with a fixed distribution so that all steps ≥16.1 km are migratory.</w:t>
            </w:r>
          </w:p>
        </w:tc>
      </w:tr>
      <w:tr w:rsidR="009847B8" w:rsidRPr="001951C4" w14:paraId="5BBD3A56" w14:textId="77777777" w:rsidTr="004E19A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3DE57DD" w14:textId="77777777" w:rsidR="009847B8" w:rsidRPr="001951C4" w:rsidRDefault="009847B8" w:rsidP="004E19A7">
            <w:pPr>
              <w:rPr>
                <w:rFonts w:cs="Times New Roman"/>
                <w:i/>
                <w:iCs/>
                <w:szCs w:val="24"/>
              </w:rPr>
            </w:pPr>
            <w:r w:rsidRPr="001951C4">
              <w:rPr>
                <w:rFonts w:cs="Times New Roman"/>
                <w:i/>
                <w:iCs/>
                <w:szCs w:val="24"/>
              </w:rPr>
              <w:t xml:space="preserve">Full model 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13DD89FC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5035413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</w:p>
        </w:tc>
      </w:tr>
      <w:tr w:rsidR="009847B8" w:rsidRPr="001951C4" w14:paraId="6BBCD386" w14:textId="77777777" w:rsidTr="004E19A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573E27E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 xml:space="preserve">    </w:t>
            </w:r>
            <w:proofErr w:type="gramStart"/>
            <w:r w:rsidRPr="001951C4">
              <w:rPr>
                <w:rFonts w:cs="Times New Roman"/>
                <w:szCs w:val="24"/>
              </w:rPr>
              <w:t>Log(</w:t>
            </w:r>
            <w:proofErr w:type="gramEnd"/>
            <w:r w:rsidRPr="001951C4">
              <w:rPr>
                <w:rFonts w:cs="Times New Roman"/>
                <w:szCs w:val="24"/>
              </w:rPr>
              <w:t>distance to nearest points)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49C4A8CE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188CC70C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Natural logarithm of the mean distance to the nearest 7 points.</w:t>
            </w:r>
          </w:p>
        </w:tc>
      </w:tr>
      <w:tr w:rsidR="009847B8" w:rsidRPr="001951C4" w14:paraId="3E406BFE" w14:textId="77777777" w:rsidTr="004E19A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60BB66A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 xml:space="preserve">    Residence time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4A61C85D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450790B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Number of days that the bird has spent/will spend within a 10km radius.</w:t>
            </w:r>
          </w:p>
        </w:tc>
      </w:tr>
      <w:tr w:rsidR="009847B8" w:rsidRPr="001951C4" w14:paraId="699285DD" w14:textId="77777777" w:rsidTr="004E19A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7BD6AD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 xml:space="preserve">    Ordinal day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1E777CC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7EBBBDB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Days since the beginning of the migratory season</w:t>
            </w:r>
            <w:r>
              <w:rPr>
                <w:rFonts w:cs="Times New Roman"/>
                <w:szCs w:val="24"/>
              </w:rPr>
              <w:t xml:space="preserve"> (Fall: Aug. 1</w:t>
            </w:r>
            <w:r w:rsidRPr="00A26DE2">
              <w:rPr>
                <w:rFonts w:cs="Times New Roman"/>
                <w:szCs w:val="24"/>
                <w:vertAlign w:val="superscript"/>
              </w:rPr>
              <w:t>st</w:t>
            </w:r>
            <w:r>
              <w:rPr>
                <w:rFonts w:cs="Times New Roman"/>
                <w:szCs w:val="24"/>
              </w:rPr>
              <w:t>, Spring: Jan. 1</w:t>
            </w:r>
            <w:r w:rsidRPr="00A26DE2">
              <w:rPr>
                <w:rFonts w:cs="Times New Roman"/>
                <w:szCs w:val="24"/>
                <w:vertAlign w:val="superscript"/>
              </w:rPr>
              <w:t>st</w:t>
            </w:r>
            <w:r>
              <w:rPr>
                <w:rFonts w:cs="Times New Roman"/>
                <w:szCs w:val="24"/>
              </w:rPr>
              <w:t>).</w:t>
            </w:r>
          </w:p>
        </w:tc>
      </w:tr>
      <w:tr w:rsidR="009847B8" w:rsidRPr="001951C4" w14:paraId="44BCE2DE" w14:textId="77777777" w:rsidTr="004E19A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526702A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 xml:space="preserve">    Latitude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1EA9BEEC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710E1808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Latitude at the beginning of the step</w:t>
            </w:r>
          </w:p>
        </w:tc>
      </w:tr>
      <w:tr w:rsidR="009847B8" w:rsidRPr="001951C4" w14:paraId="7CD84A2B" w14:textId="77777777" w:rsidTr="004E19A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1D583126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 xml:space="preserve">    Distance from start 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B6231C1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611BA6BB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Binomial indicating if the bird moved &gt;16.1 km from its location at the beginning of the migratory season</w:t>
            </w:r>
          </w:p>
        </w:tc>
      </w:tr>
      <w:tr w:rsidR="009847B8" w:rsidRPr="001951C4" w14:paraId="71619A15" w14:textId="77777777" w:rsidTr="004E19A7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24597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lastRenderedPageBreak/>
              <w:t xml:space="preserve">    Breeding range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46FF9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86D31" w14:textId="77777777" w:rsidR="009847B8" w:rsidRPr="001951C4" w:rsidRDefault="009847B8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Binomial indicating if the step begins in the American Woodcock breeding range (Fink et al. 2022).</w:t>
            </w:r>
          </w:p>
        </w:tc>
      </w:tr>
    </w:tbl>
    <w:p w14:paraId="7F64B58C" w14:textId="77777777" w:rsidR="007B6386" w:rsidRDefault="007B6386"/>
    <w:sectPr w:rsidR="007B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3E"/>
    <w:rsid w:val="000A7CE8"/>
    <w:rsid w:val="002F2601"/>
    <w:rsid w:val="003C286B"/>
    <w:rsid w:val="003F7AC1"/>
    <w:rsid w:val="005E3D43"/>
    <w:rsid w:val="007B6386"/>
    <w:rsid w:val="00956C3E"/>
    <w:rsid w:val="009847B8"/>
    <w:rsid w:val="00A60F50"/>
    <w:rsid w:val="00C06936"/>
    <w:rsid w:val="00E2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FA26"/>
  <w15:chartTrackingRefBased/>
  <w15:docId w15:val="{3E53A367-81F0-4FCA-83B9-D73052E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B8"/>
    <w:rPr>
      <w:rFonts w:ascii="Times New Roman" w:eastAsia="Calibri" w:hAnsi="Times New Roman" w:cs="Calibr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5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5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3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5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3E"/>
    <w:pPr>
      <w:ind w:left="72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56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2</cp:revision>
  <dcterms:created xsi:type="dcterms:W3CDTF">2024-06-28T15:17:00Z</dcterms:created>
  <dcterms:modified xsi:type="dcterms:W3CDTF">2024-06-28T15:17:00Z</dcterms:modified>
</cp:coreProperties>
</file>