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DD0B" w14:textId="77777777" w:rsidR="00425998" w:rsidRPr="001951C4" w:rsidRDefault="00425998" w:rsidP="00425998">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Table 1. Covariates used to delineate movement states in hidden Markov Models (HMMs), and the type of distribution fit to each covariate in the HMMs. Data streams are categorized by their appearance in the base and full models, with the base model using only the 3 core data streams and the full model using all 9 data streams.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425998" w:rsidRPr="001951C4" w14:paraId="115DA91C" w14:textId="77777777" w:rsidTr="00C2206E">
        <w:tc>
          <w:tcPr>
            <w:tcW w:w="3240" w:type="dxa"/>
            <w:tcBorders>
              <w:left w:val="nil"/>
              <w:bottom w:val="single" w:sz="4" w:space="0" w:color="000000"/>
              <w:right w:val="nil"/>
            </w:tcBorders>
          </w:tcPr>
          <w:p w14:paraId="020CC6BE" w14:textId="77777777" w:rsidR="00425998" w:rsidRPr="001951C4" w:rsidRDefault="00425998" w:rsidP="00C2206E">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3F310F09" w14:textId="77777777" w:rsidR="00425998" w:rsidRPr="001951C4" w:rsidRDefault="00425998" w:rsidP="00C2206E">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581AA5F6" w14:textId="77777777" w:rsidR="00425998" w:rsidRPr="001951C4" w:rsidRDefault="00425998" w:rsidP="00C2206E">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425998" w:rsidRPr="001951C4" w14:paraId="65220D65" w14:textId="77777777" w:rsidTr="00C2206E">
        <w:tc>
          <w:tcPr>
            <w:tcW w:w="3240" w:type="dxa"/>
            <w:tcBorders>
              <w:left w:val="nil"/>
              <w:bottom w:val="nil"/>
              <w:right w:val="nil"/>
            </w:tcBorders>
          </w:tcPr>
          <w:p w14:paraId="512D4960" w14:textId="77777777" w:rsidR="00425998" w:rsidRPr="001951C4" w:rsidRDefault="00425998" w:rsidP="00C2206E">
            <w:pPr>
              <w:rPr>
                <w:rFonts w:ascii="Times New Roman" w:hAnsi="Times New Roman" w:cs="Times New Roman"/>
                <w:i/>
                <w:iCs/>
                <w:sz w:val="24"/>
                <w:szCs w:val="24"/>
              </w:rPr>
            </w:pPr>
            <w:r w:rsidRPr="001951C4">
              <w:rPr>
                <w:rFonts w:ascii="Times New Roman" w:hAnsi="Times New Roman" w:cs="Times New Roman"/>
                <w:i/>
                <w:iCs/>
                <w:sz w:val="24"/>
                <w:szCs w:val="24"/>
              </w:rPr>
              <w:t>Base &amp; Full Model</w:t>
            </w:r>
          </w:p>
        </w:tc>
        <w:tc>
          <w:tcPr>
            <w:tcW w:w="1975" w:type="dxa"/>
            <w:tcBorders>
              <w:left w:val="nil"/>
              <w:bottom w:val="nil"/>
              <w:right w:val="nil"/>
            </w:tcBorders>
          </w:tcPr>
          <w:p w14:paraId="5164B62D" w14:textId="77777777" w:rsidR="00425998" w:rsidRPr="001951C4" w:rsidRDefault="00425998" w:rsidP="00C2206E">
            <w:pPr>
              <w:rPr>
                <w:rFonts w:ascii="Times New Roman" w:hAnsi="Times New Roman" w:cs="Times New Roman"/>
                <w:sz w:val="24"/>
                <w:szCs w:val="24"/>
              </w:rPr>
            </w:pPr>
          </w:p>
        </w:tc>
        <w:tc>
          <w:tcPr>
            <w:tcW w:w="4135" w:type="dxa"/>
            <w:tcBorders>
              <w:left w:val="nil"/>
              <w:bottom w:val="nil"/>
              <w:right w:val="nil"/>
            </w:tcBorders>
          </w:tcPr>
          <w:p w14:paraId="1FADAF12" w14:textId="77777777" w:rsidR="00425998" w:rsidRPr="001951C4" w:rsidRDefault="00425998" w:rsidP="00C2206E">
            <w:pPr>
              <w:rPr>
                <w:rFonts w:ascii="Times New Roman" w:hAnsi="Times New Roman" w:cs="Times New Roman"/>
                <w:sz w:val="24"/>
                <w:szCs w:val="24"/>
              </w:rPr>
            </w:pPr>
          </w:p>
        </w:tc>
      </w:tr>
      <w:tr w:rsidR="00425998" w:rsidRPr="001951C4" w14:paraId="69A60B54" w14:textId="77777777" w:rsidTr="00C2206E">
        <w:tc>
          <w:tcPr>
            <w:tcW w:w="3240" w:type="dxa"/>
            <w:tcBorders>
              <w:top w:val="nil"/>
              <w:left w:val="nil"/>
              <w:bottom w:val="nil"/>
              <w:right w:val="nil"/>
            </w:tcBorders>
          </w:tcPr>
          <w:p w14:paraId="6668BCF2"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Step length</w:t>
            </w:r>
          </w:p>
        </w:tc>
        <w:tc>
          <w:tcPr>
            <w:tcW w:w="1975" w:type="dxa"/>
            <w:tcBorders>
              <w:top w:val="nil"/>
              <w:left w:val="nil"/>
              <w:bottom w:val="nil"/>
              <w:right w:val="nil"/>
            </w:tcBorders>
          </w:tcPr>
          <w:p w14:paraId="5B258746"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49C36FD5"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425998" w:rsidRPr="001951C4" w14:paraId="239BE8F4" w14:textId="77777777" w:rsidTr="00C2206E">
        <w:tc>
          <w:tcPr>
            <w:tcW w:w="3240" w:type="dxa"/>
            <w:tcBorders>
              <w:top w:val="nil"/>
              <w:left w:val="nil"/>
              <w:bottom w:val="nil"/>
              <w:right w:val="nil"/>
            </w:tcBorders>
          </w:tcPr>
          <w:p w14:paraId="220D8443"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Turn angle</w:t>
            </w:r>
          </w:p>
        </w:tc>
        <w:tc>
          <w:tcPr>
            <w:tcW w:w="1975" w:type="dxa"/>
            <w:tcBorders>
              <w:top w:val="nil"/>
              <w:left w:val="nil"/>
              <w:bottom w:val="nil"/>
              <w:right w:val="nil"/>
            </w:tcBorders>
          </w:tcPr>
          <w:p w14:paraId="7B97C3A5"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Wrapped Cauchy</w:t>
            </w:r>
            <w:r>
              <w:rPr>
                <w:rFonts w:ascii="Times New Roman" w:hAnsi="Times New Roman" w:cs="Times New Roman"/>
                <w:sz w:val="24"/>
                <w:szCs w:val="24"/>
              </w:rPr>
              <w:t xml:space="preserve"> (Kent and Tyler 1988)</w:t>
            </w:r>
            <w:r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083991D2"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425998" w:rsidRPr="001951C4" w14:paraId="58FCDA6A" w14:textId="77777777" w:rsidTr="00C2206E">
        <w:tc>
          <w:tcPr>
            <w:tcW w:w="3240" w:type="dxa"/>
            <w:tcBorders>
              <w:top w:val="nil"/>
              <w:left w:val="nil"/>
              <w:bottom w:val="nil"/>
              <w:right w:val="nil"/>
            </w:tcBorders>
          </w:tcPr>
          <w:p w14:paraId="2F448CF1"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Step length threshold</w:t>
            </w:r>
          </w:p>
        </w:tc>
        <w:tc>
          <w:tcPr>
            <w:tcW w:w="1975" w:type="dxa"/>
            <w:tcBorders>
              <w:top w:val="nil"/>
              <w:left w:val="nil"/>
              <w:bottom w:val="nil"/>
              <w:right w:val="nil"/>
            </w:tcBorders>
          </w:tcPr>
          <w:p w14:paraId="73DFCB25"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6B814339"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425998" w:rsidRPr="001951C4" w14:paraId="7BCB6C09" w14:textId="77777777" w:rsidTr="00C2206E">
        <w:tc>
          <w:tcPr>
            <w:tcW w:w="3240" w:type="dxa"/>
            <w:tcBorders>
              <w:top w:val="nil"/>
              <w:left w:val="nil"/>
              <w:bottom w:val="nil"/>
              <w:right w:val="nil"/>
            </w:tcBorders>
          </w:tcPr>
          <w:p w14:paraId="77540652" w14:textId="77777777" w:rsidR="00425998" w:rsidRPr="001951C4" w:rsidRDefault="00425998" w:rsidP="00C2206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6D83749E" w14:textId="77777777" w:rsidR="00425998" w:rsidRPr="001951C4" w:rsidRDefault="00425998" w:rsidP="00C2206E">
            <w:pPr>
              <w:rPr>
                <w:rFonts w:ascii="Times New Roman" w:hAnsi="Times New Roman" w:cs="Times New Roman"/>
                <w:sz w:val="24"/>
                <w:szCs w:val="24"/>
              </w:rPr>
            </w:pPr>
          </w:p>
        </w:tc>
        <w:tc>
          <w:tcPr>
            <w:tcW w:w="4135" w:type="dxa"/>
            <w:tcBorders>
              <w:top w:val="nil"/>
              <w:left w:val="nil"/>
              <w:bottom w:val="nil"/>
              <w:right w:val="nil"/>
            </w:tcBorders>
          </w:tcPr>
          <w:p w14:paraId="671DC2EA" w14:textId="77777777" w:rsidR="00425998" w:rsidRPr="001951C4" w:rsidRDefault="00425998" w:rsidP="00C2206E">
            <w:pPr>
              <w:rPr>
                <w:rFonts w:ascii="Times New Roman" w:hAnsi="Times New Roman" w:cs="Times New Roman"/>
                <w:sz w:val="24"/>
                <w:szCs w:val="24"/>
              </w:rPr>
            </w:pPr>
          </w:p>
        </w:tc>
      </w:tr>
      <w:tr w:rsidR="00425998" w:rsidRPr="001951C4" w14:paraId="3F728A10" w14:textId="77777777" w:rsidTr="00C2206E">
        <w:tc>
          <w:tcPr>
            <w:tcW w:w="3240" w:type="dxa"/>
            <w:tcBorders>
              <w:top w:val="nil"/>
              <w:left w:val="nil"/>
              <w:bottom w:val="nil"/>
              <w:right w:val="nil"/>
            </w:tcBorders>
          </w:tcPr>
          <w:p w14:paraId="45FC9E17"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0749A5E9"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E8F0C"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425998" w:rsidRPr="001951C4" w14:paraId="557CF5CC" w14:textId="77777777" w:rsidTr="00C2206E">
        <w:tc>
          <w:tcPr>
            <w:tcW w:w="3240" w:type="dxa"/>
            <w:tcBorders>
              <w:top w:val="nil"/>
              <w:left w:val="nil"/>
              <w:bottom w:val="nil"/>
              <w:right w:val="nil"/>
            </w:tcBorders>
          </w:tcPr>
          <w:p w14:paraId="28276553"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0A66EF02"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9EBC8A4"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25998" w:rsidRPr="001951C4" w14:paraId="3CCDD256" w14:textId="77777777" w:rsidTr="00C2206E">
        <w:tc>
          <w:tcPr>
            <w:tcW w:w="3240" w:type="dxa"/>
            <w:tcBorders>
              <w:top w:val="nil"/>
              <w:left w:val="nil"/>
              <w:bottom w:val="nil"/>
              <w:right w:val="nil"/>
            </w:tcBorders>
          </w:tcPr>
          <w:p w14:paraId="35EE721F"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179CCF07"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75BF091F"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25998" w:rsidRPr="001951C4" w14:paraId="7D24063C" w14:textId="77777777" w:rsidTr="00C2206E">
        <w:tc>
          <w:tcPr>
            <w:tcW w:w="3240" w:type="dxa"/>
            <w:tcBorders>
              <w:top w:val="nil"/>
              <w:left w:val="nil"/>
              <w:bottom w:val="nil"/>
              <w:right w:val="nil"/>
            </w:tcBorders>
          </w:tcPr>
          <w:p w14:paraId="3F0B129F"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6D62E63"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01BE5087"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25998" w:rsidRPr="001951C4" w14:paraId="3A663FB8" w14:textId="77777777" w:rsidTr="00C2206E">
        <w:tc>
          <w:tcPr>
            <w:tcW w:w="3240" w:type="dxa"/>
            <w:tcBorders>
              <w:top w:val="nil"/>
              <w:left w:val="nil"/>
              <w:bottom w:val="nil"/>
              <w:right w:val="nil"/>
            </w:tcBorders>
          </w:tcPr>
          <w:p w14:paraId="6A1018AB"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068F460B"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17ED961"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25998" w:rsidRPr="001951C4" w14:paraId="7EF0D288" w14:textId="77777777" w:rsidTr="00C2206E">
        <w:tc>
          <w:tcPr>
            <w:tcW w:w="3240" w:type="dxa"/>
            <w:tcBorders>
              <w:top w:val="nil"/>
              <w:left w:val="nil"/>
              <w:bottom w:val="single" w:sz="4" w:space="0" w:color="auto"/>
              <w:right w:val="nil"/>
            </w:tcBorders>
          </w:tcPr>
          <w:p w14:paraId="7FA75BBE"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5277896C"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4EDFE8BF" w14:textId="77777777" w:rsidR="00425998" w:rsidRPr="001951C4" w:rsidRDefault="00425998" w:rsidP="00C2206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1E572ED2" w14:textId="79601539" w:rsidR="001C007D" w:rsidRDefault="001C007D"/>
    <w:p w14:paraId="761B3619" w14:textId="77777777" w:rsidR="001C007D" w:rsidRDefault="001C007D">
      <w:r>
        <w:br w:type="page"/>
      </w:r>
    </w:p>
    <w:p w14:paraId="0CF749CE" w14:textId="77777777" w:rsidR="001C007D" w:rsidRPr="001951C4" w:rsidRDefault="001C007D" w:rsidP="001C007D">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1C007D" w:rsidRPr="001951C4" w14:paraId="3BD30B33" w14:textId="77777777" w:rsidTr="00C2206E">
        <w:tc>
          <w:tcPr>
            <w:tcW w:w="2245" w:type="dxa"/>
            <w:tcBorders>
              <w:left w:val="nil"/>
              <w:bottom w:val="single" w:sz="4" w:space="0" w:color="000000"/>
              <w:right w:val="nil"/>
            </w:tcBorders>
          </w:tcPr>
          <w:p w14:paraId="05D72CE5" w14:textId="77777777" w:rsidR="001C007D" w:rsidRPr="001951C4" w:rsidRDefault="001C007D" w:rsidP="00C2206E">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AE2047D" w14:textId="77777777" w:rsidR="001C007D" w:rsidRPr="001951C4" w:rsidRDefault="001C007D" w:rsidP="00C2206E">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1C007D" w:rsidRPr="001951C4" w14:paraId="56068F1F" w14:textId="77777777" w:rsidTr="00C2206E">
        <w:tc>
          <w:tcPr>
            <w:tcW w:w="2245" w:type="dxa"/>
            <w:tcBorders>
              <w:top w:val="nil"/>
              <w:left w:val="nil"/>
              <w:bottom w:val="nil"/>
              <w:right w:val="nil"/>
            </w:tcBorders>
          </w:tcPr>
          <w:p w14:paraId="2A616A90" w14:textId="77777777" w:rsidR="001C007D" w:rsidRPr="001951C4" w:rsidRDefault="001C007D" w:rsidP="00C2206E">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7641D147" w14:textId="77777777" w:rsidR="001C007D" w:rsidRPr="001951C4" w:rsidRDefault="001C007D" w:rsidP="00C2206E">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1C007D" w:rsidRPr="001951C4" w14:paraId="25DB474B" w14:textId="77777777" w:rsidTr="00C2206E">
        <w:tc>
          <w:tcPr>
            <w:tcW w:w="2245" w:type="dxa"/>
            <w:tcBorders>
              <w:top w:val="nil"/>
              <w:left w:val="nil"/>
              <w:bottom w:val="nil"/>
              <w:right w:val="nil"/>
            </w:tcBorders>
          </w:tcPr>
          <w:p w14:paraId="54AD7BB1" w14:textId="77777777" w:rsidR="001C007D" w:rsidRPr="001951C4" w:rsidRDefault="001C007D" w:rsidP="00C2206E">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1E6F1091" w14:textId="77777777" w:rsidR="001C007D" w:rsidRPr="001951C4" w:rsidRDefault="001C007D" w:rsidP="00C2206E">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1C007D" w:rsidRPr="001951C4" w14:paraId="7C872319" w14:textId="77777777" w:rsidTr="00C2206E">
        <w:tc>
          <w:tcPr>
            <w:tcW w:w="2245" w:type="dxa"/>
            <w:tcBorders>
              <w:top w:val="nil"/>
              <w:left w:val="nil"/>
              <w:right w:val="nil"/>
            </w:tcBorders>
          </w:tcPr>
          <w:p w14:paraId="684AE00F" w14:textId="77777777" w:rsidR="001C007D" w:rsidRPr="001951C4" w:rsidRDefault="001C007D" w:rsidP="00C2206E">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1B829B29" w14:textId="77777777" w:rsidR="001C007D" w:rsidRPr="001951C4" w:rsidRDefault="001C007D" w:rsidP="00C2206E">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t xml:space="preserve"> </w:t>
            </w:r>
            <w:r w:rsidRPr="00347256">
              <w:rPr>
                <w:rFonts w:ascii="Times New Roman" w:hAnsi="Times New Roman" w:cs="Times New Roman"/>
                <w:sz w:val="24"/>
                <w:szCs w:val="24"/>
              </w:rPr>
              <w:t xml:space="preserve">Note that </w:t>
            </w:r>
            <w:r>
              <w:rPr>
                <w:rFonts w:ascii="Times New Roman" w:hAnsi="Times New Roman" w:cs="Times New Roman"/>
                <w:sz w:val="24"/>
                <w:szCs w:val="24"/>
              </w:rPr>
              <w:t>this</w:t>
            </w:r>
            <w:r w:rsidRPr="00347256">
              <w:rPr>
                <w:rFonts w:ascii="Times New Roman" w:hAnsi="Times New Roman" w:cs="Times New Roman"/>
                <w:sz w:val="24"/>
                <w:szCs w:val="24"/>
              </w:rPr>
              <w:t xml:space="preserve"> differs from dispersal defined in an evolutionary context, </w:t>
            </w:r>
            <w:r w:rsidRPr="007D4D05">
              <w:rPr>
                <w:rFonts w:ascii="Times New Roman" w:hAnsi="Times New Roman" w:cs="Times New Roman"/>
                <w:i/>
                <w:iCs/>
                <w:sz w:val="24"/>
                <w:szCs w:val="24"/>
              </w:rPr>
              <w:t>sensu</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Ronce</w:t>
            </w:r>
            <w:proofErr w:type="spellEnd"/>
            <w:r>
              <w:rPr>
                <w:rFonts w:ascii="Times New Roman" w:hAnsi="Times New Roman" w:cs="Times New Roman"/>
                <w:sz w:val="24"/>
                <w:szCs w:val="24"/>
              </w:rPr>
              <w:t xml:space="preserve"> (2007)</w:t>
            </w:r>
            <w:r w:rsidRPr="00347256">
              <w:rPr>
                <w:rFonts w:ascii="Times New Roman" w:hAnsi="Times New Roman" w:cs="Times New Roman"/>
                <w:sz w:val="24"/>
                <w:szCs w:val="24"/>
              </w:rPr>
              <w:t>.</w:t>
            </w:r>
          </w:p>
        </w:tc>
      </w:tr>
    </w:tbl>
    <w:p w14:paraId="675A608E" w14:textId="77777777" w:rsidR="001C007D" w:rsidRPr="001951C4" w:rsidRDefault="001C007D" w:rsidP="001C007D">
      <w:pPr>
        <w:spacing w:line="480" w:lineRule="auto"/>
        <w:rPr>
          <w:rFonts w:ascii="Times New Roman" w:hAnsi="Times New Roman" w:cs="Times New Roman"/>
          <w:sz w:val="24"/>
          <w:szCs w:val="24"/>
        </w:rPr>
      </w:pPr>
    </w:p>
    <w:p w14:paraId="1212E176" w14:textId="113705C6" w:rsidR="001C007D" w:rsidRDefault="001C007D">
      <w:r>
        <w:br w:type="page"/>
      </w:r>
    </w:p>
    <w:p w14:paraId="15460FC8"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3. Migratory characteristics of full and base models for each seasonal hidden Markov model, in addition to detection rates for long-distance movements outside of spring and fall migration.</w:t>
      </w:r>
    </w:p>
    <w:tbl>
      <w:tblPr>
        <w:tblStyle w:val="TableGrid"/>
        <w:tblW w:w="9895" w:type="dxa"/>
        <w:jc w:val="center"/>
        <w:tblLook w:val="04A0" w:firstRow="1" w:lastRow="0" w:firstColumn="1" w:lastColumn="0" w:noHBand="0" w:noVBand="1"/>
      </w:tblPr>
      <w:tblGrid>
        <w:gridCol w:w="1705"/>
        <w:gridCol w:w="2070"/>
        <w:gridCol w:w="3060"/>
        <w:gridCol w:w="3060"/>
      </w:tblGrid>
      <w:tr w:rsidR="009407AF" w:rsidRPr="001951C4" w14:paraId="637D0709" w14:textId="77777777" w:rsidTr="00C2206E">
        <w:trPr>
          <w:jc w:val="center"/>
        </w:trPr>
        <w:tc>
          <w:tcPr>
            <w:tcW w:w="1705" w:type="dxa"/>
            <w:tcBorders>
              <w:left w:val="nil"/>
              <w:bottom w:val="single" w:sz="4" w:space="0" w:color="auto"/>
              <w:right w:val="nil"/>
            </w:tcBorders>
          </w:tcPr>
          <w:p w14:paraId="3BD825CD" w14:textId="77777777" w:rsidR="009407AF" w:rsidRPr="001951C4" w:rsidRDefault="009407AF" w:rsidP="00C2206E">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6E2F0183" w14:textId="77777777" w:rsidR="009407AF" w:rsidRPr="001951C4" w:rsidRDefault="009407AF" w:rsidP="00C2206E">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1C59E8D7" w14:textId="77777777" w:rsidR="009407AF" w:rsidRPr="001951C4" w:rsidRDefault="009407AF" w:rsidP="00C2206E">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40464976" w14:textId="77777777" w:rsidR="009407AF" w:rsidRPr="001951C4" w:rsidRDefault="009407AF" w:rsidP="00C2206E">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9407AF" w:rsidRPr="001951C4" w14:paraId="68AB4EE5" w14:textId="77777777" w:rsidTr="00C2206E">
        <w:trPr>
          <w:jc w:val="center"/>
        </w:trPr>
        <w:tc>
          <w:tcPr>
            <w:tcW w:w="1705" w:type="dxa"/>
            <w:tcBorders>
              <w:left w:val="nil"/>
              <w:bottom w:val="nil"/>
              <w:right w:val="nil"/>
            </w:tcBorders>
          </w:tcPr>
          <w:p w14:paraId="4E83D5EF"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32B320B8"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1CFB0617"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p>
        </w:tc>
        <w:tc>
          <w:tcPr>
            <w:tcW w:w="3060" w:type="dxa"/>
            <w:tcBorders>
              <w:left w:val="nil"/>
              <w:bottom w:val="nil"/>
              <w:right w:val="nil"/>
            </w:tcBorders>
          </w:tcPr>
          <w:p w14:paraId="652572A0"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9407AF" w:rsidRPr="001951C4" w14:paraId="448EC787" w14:textId="77777777" w:rsidTr="00C2206E">
        <w:trPr>
          <w:jc w:val="center"/>
        </w:trPr>
        <w:tc>
          <w:tcPr>
            <w:tcW w:w="1705" w:type="dxa"/>
            <w:tcBorders>
              <w:top w:val="nil"/>
              <w:left w:val="nil"/>
              <w:bottom w:val="nil"/>
              <w:right w:val="nil"/>
            </w:tcBorders>
          </w:tcPr>
          <w:p w14:paraId="0EFEA12E"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97A0A19"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39E23740"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366E67BE"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9407AF" w:rsidRPr="001951C4" w14:paraId="4DADBD88" w14:textId="77777777" w:rsidTr="00C2206E">
        <w:trPr>
          <w:jc w:val="center"/>
        </w:trPr>
        <w:tc>
          <w:tcPr>
            <w:tcW w:w="1705" w:type="dxa"/>
            <w:tcBorders>
              <w:top w:val="nil"/>
              <w:left w:val="nil"/>
              <w:bottom w:val="nil"/>
              <w:right w:val="nil"/>
            </w:tcBorders>
          </w:tcPr>
          <w:p w14:paraId="34896846"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1672244B"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33E70313"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406DC1B9"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9407AF" w:rsidRPr="001951C4" w14:paraId="707FCB45" w14:textId="77777777" w:rsidTr="00C2206E">
        <w:trPr>
          <w:jc w:val="center"/>
        </w:trPr>
        <w:tc>
          <w:tcPr>
            <w:tcW w:w="1705" w:type="dxa"/>
            <w:tcBorders>
              <w:top w:val="nil"/>
              <w:left w:val="nil"/>
              <w:bottom w:val="nil"/>
              <w:right w:val="nil"/>
            </w:tcBorders>
          </w:tcPr>
          <w:p w14:paraId="1D4CF6C1"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2CA3169E"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7A77056"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3D8D4AEA"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9407AF" w:rsidRPr="001951C4" w14:paraId="33C932F5" w14:textId="77777777" w:rsidTr="00C2206E">
        <w:trPr>
          <w:jc w:val="center"/>
        </w:trPr>
        <w:tc>
          <w:tcPr>
            <w:tcW w:w="1705" w:type="dxa"/>
            <w:tcBorders>
              <w:top w:val="nil"/>
              <w:left w:val="nil"/>
              <w:bottom w:val="nil"/>
              <w:right w:val="nil"/>
            </w:tcBorders>
          </w:tcPr>
          <w:p w14:paraId="71A61538"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B88E8A1"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1E510F87"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6CD79DF"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9407AF" w:rsidRPr="001951C4" w14:paraId="3C8E906F" w14:textId="77777777" w:rsidTr="00C2206E">
        <w:trPr>
          <w:jc w:val="center"/>
        </w:trPr>
        <w:tc>
          <w:tcPr>
            <w:tcW w:w="1705" w:type="dxa"/>
            <w:tcBorders>
              <w:top w:val="nil"/>
              <w:left w:val="nil"/>
              <w:bottom w:val="nil"/>
              <w:right w:val="nil"/>
            </w:tcBorders>
          </w:tcPr>
          <w:p w14:paraId="48B4BDC4"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58E0DD18"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458EDA34"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1455D9BB"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9407AF" w:rsidRPr="001951C4" w14:paraId="3511F6B0" w14:textId="77777777" w:rsidTr="00C2206E">
        <w:trPr>
          <w:jc w:val="center"/>
        </w:trPr>
        <w:tc>
          <w:tcPr>
            <w:tcW w:w="1705" w:type="dxa"/>
            <w:tcBorders>
              <w:top w:val="nil"/>
              <w:left w:val="nil"/>
              <w:bottom w:val="nil"/>
              <w:right w:val="nil"/>
            </w:tcBorders>
          </w:tcPr>
          <w:p w14:paraId="4447C053"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FAA0D5E"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9CF8121"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78998861"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9407AF" w:rsidRPr="001951C4" w14:paraId="4AAC9970" w14:textId="77777777" w:rsidTr="00C2206E">
        <w:trPr>
          <w:jc w:val="center"/>
        </w:trPr>
        <w:tc>
          <w:tcPr>
            <w:tcW w:w="1705" w:type="dxa"/>
            <w:tcBorders>
              <w:top w:val="nil"/>
              <w:left w:val="nil"/>
              <w:bottom w:val="nil"/>
              <w:right w:val="nil"/>
            </w:tcBorders>
          </w:tcPr>
          <w:p w14:paraId="0D3184C0"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FBE5FD0"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6E92E5"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7E0616FB"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9407AF" w:rsidRPr="001951C4" w14:paraId="2DCC8F9C" w14:textId="77777777" w:rsidTr="00C2206E">
        <w:trPr>
          <w:jc w:val="center"/>
        </w:trPr>
        <w:tc>
          <w:tcPr>
            <w:tcW w:w="1705" w:type="dxa"/>
            <w:tcBorders>
              <w:top w:val="nil"/>
              <w:left w:val="nil"/>
              <w:bottom w:val="nil"/>
              <w:right w:val="nil"/>
            </w:tcBorders>
          </w:tcPr>
          <w:p w14:paraId="5A873A13"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10CBC352"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410E126"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69A7021"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9407AF" w:rsidRPr="001951C4" w14:paraId="16275E94" w14:textId="77777777" w:rsidTr="00C2206E">
        <w:trPr>
          <w:jc w:val="center"/>
        </w:trPr>
        <w:tc>
          <w:tcPr>
            <w:tcW w:w="1705" w:type="dxa"/>
            <w:tcBorders>
              <w:top w:val="nil"/>
              <w:left w:val="nil"/>
              <w:bottom w:val="nil"/>
              <w:right w:val="nil"/>
            </w:tcBorders>
          </w:tcPr>
          <w:p w14:paraId="1BAE238C"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2967D77"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6257FC45"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475CC31"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9407AF" w:rsidRPr="001951C4" w14:paraId="7EC8C093" w14:textId="77777777" w:rsidTr="00C2206E">
        <w:trPr>
          <w:jc w:val="center"/>
        </w:trPr>
        <w:tc>
          <w:tcPr>
            <w:tcW w:w="1705" w:type="dxa"/>
            <w:tcBorders>
              <w:top w:val="nil"/>
              <w:left w:val="nil"/>
              <w:bottom w:val="nil"/>
              <w:right w:val="nil"/>
            </w:tcBorders>
          </w:tcPr>
          <w:p w14:paraId="7F640105"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3A8811EE"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1124ADB5"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4728AEDA"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9407AF" w:rsidRPr="001951C4" w14:paraId="6B7F794D" w14:textId="77777777" w:rsidTr="00C2206E">
        <w:trPr>
          <w:jc w:val="center"/>
        </w:trPr>
        <w:tc>
          <w:tcPr>
            <w:tcW w:w="1705" w:type="dxa"/>
            <w:tcBorders>
              <w:top w:val="nil"/>
              <w:left w:val="nil"/>
              <w:bottom w:val="nil"/>
              <w:right w:val="nil"/>
            </w:tcBorders>
          </w:tcPr>
          <w:p w14:paraId="7690D05E"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2C96A7DA"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2AB219DB"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0D96C13A"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9407AF" w:rsidRPr="001951C4" w14:paraId="02C0F3FC" w14:textId="77777777" w:rsidTr="00C2206E">
        <w:trPr>
          <w:jc w:val="center"/>
        </w:trPr>
        <w:tc>
          <w:tcPr>
            <w:tcW w:w="1705" w:type="dxa"/>
            <w:tcBorders>
              <w:top w:val="nil"/>
              <w:left w:val="nil"/>
              <w:bottom w:val="nil"/>
              <w:right w:val="nil"/>
            </w:tcBorders>
          </w:tcPr>
          <w:p w14:paraId="145D77C3"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0C81FD2"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7879AD07"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6EEFDB67"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9407AF" w:rsidRPr="001951C4" w14:paraId="306F294B" w14:textId="77777777" w:rsidTr="00C2206E">
        <w:trPr>
          <w:jc w:val="center"/>
        </w:trPr>
        <w:tc>
          <w:tcPr>
            <w:tcW w:w="1705" w:type="dxa"/>
            <w:tcBorders>
              <w:top w:val="nil"/>
              <w:left w:val="nil"/>
              <w:bottom w:val="nil"/>
              <w:right w:val="nil"/>
            </w:tcBorders>
          </w:tcPr>
          <w:p w14:paraId="3F5CBDE0"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3ECFE1C"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15DD70CF"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B3D799B"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9407AF" w:rsidRPr="001951C4" w14:paraId="7011740B" w14:textId="77777777" w:rsidTr="00C2206E">
        <w:trPr>
          <w:jc w:val="center"/>
        </w:trPr>
        <w:tc>
          <w:tcPr>
            <w:tcW w:w="1705" w:type="dxa"/>
            <w:tcBorders>
              <w:top w:val="nil"/>
              <w:left w:val="nil"/>
              <w:bottom w:val="nil"/>
              <w:right w:val="nil"/>
            </w:tcBorders>
          </w:tcPr>
          <w:p w14:paraId="338FF0FF"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41D3CCE"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60B28054"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3AF1FA05"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9407AF" w:rsidRPr="001951C4" w14:paraId="7011E576" w14:textId="77777777" w:rsidTr="00C2206E">
        <w:trPr>
          <w:jc w:val="center"/>
        </w:trPr>
        <w:tc>
          <w:tcPr>
            <w:tcW w:w="1705" w:type="dxa"/>
            <w:tcBorders>
              <w:top w:val="nil"/>
              <w:left w:val="nil"/>
              <w:bottom w:val="nil"/>
              <w:right w:val="nil"/>
            </w:tcBorders>
          </w:tcPr>
          <w:p w14:paraId="689DCF37"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Long-distance movements</w:t>
            </w:r>
          </w:p>
        </w:tc>
        <w:tc>
          <w:tcPr>
            <w:tcW w:w="2070" w:type="dxa"/>
            <w:tcBorders>
              <w:top w:val="nil"/>
              <w:left w:val="nil"/>
              <w:bottom w:val="nil"/>
              <w:right w:val="nil"/>
            </w:tcBorders>
          </w:tcPr>
          <w:p w14:paraId="09236FB0"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2F806C55"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(0.7%; 2 M, 1 F)</w:t>
            </w:r>
          </w:p>
        </w:tc>
        <w:tc>
          <w:tcPr>
            <w:tcW w:w="3060" w:type="dxa"/>
            <w:tcBorders>
              <w:top w:val="nil"/>
              <w:left w:val="nil"/>
              <w:bottom w:val="nil"/>
              <w:right w:val="nil"/>
            </w:tcBorders>
          </w:tcPr>
          <w:p w14:paraId="6CC8D7F6"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2 detected (0.4%; 2 M, 1 F)</w:t>
            </w:r>
          </w:p>
        </w:tc>
      </w:tr>
      <w:tr w:rsidR="009407AF" w:rsidRPr="001951C4" w14:paraId="297C611F" w14:textId="77777777" w:rsidTr="00C2206E">
        <w:trPr>
          <w:jc w:val="center"/>
        </w:trPr>
        <w:tc>
          <w:tcPr>
            <w:tcW w:w="1705" w:type="dxa"/>
            <w:tcBorders>
              <w:top w:val="nil"/>
              <w:left w:val="nil"/>
              <w:bottom w:val="nil"/>
              <w:right w:val="nil"/>
            </w:tcBorders>
          </w:tcPr>
          <w:p w14:paraId="799CCBB0"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F3F0777"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000E22B2"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18 detected (4%; 8 M, 10 F)</w:t>
            </w:r>
          </w:p>
        </w:tc>
        <w:tc>
          <w:tcPr>
            <w:tcW w:w="3060" w:type="dxa"/>
            <w:tcBorders>
              <w:top w:val="nil"/>
              <w:left w:val="nil"/>
              <w:bottom w:val="nil"/>
              <w:right w:val="nil"/>
            </w:tcBorders>
          </w:tcPr>
          <w:p w14:paraId="3955BE90"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(3%; 7 M, 8 F)</w:t>
            </w:r>
          </w:p>
        </w:tc>
      </w:tr>
      <w:tr w:rsidR="009407AF" w:rsidRPr="001951C4" w14:paraId="6544DC08" w14:textId="77777777" w:rsidTr="00C2206E">
        <w:trPr>
          <w:jc w:val="center"/>
        </w:trPr>
        <w:tc>
          <w:tcPr>
            <w:tcW w:w="1705" w:type="dxa"/>
            <w:tcBorders>
              <w:top w:val="nil"/>
              <w:left w:val="nil"/>
              <w:right w:val="nil"/>
            </w:tcBorders>
          </w:tcPr>
          <w:p w14:paraId="23A6BC54" w14:textId="77777777" w:rsidR="009407AF" w:rsidRPr="001951C4" w:rsidRDefault="009407AF" w:rsidP="00C2206E">
            <w:pPr>
              <w:spacing w:line="360" w:lineRule="auto"/>
              <w:rPr>
                <w:rFonts w:ascii="Times New Roman" w:hAnsi="Times New Roman" w:cs="Times New Roman"/>
                <w:sz w:val="24"/>
                <w:szCs w:val="24"/>
              </w:rPr>
            </w:pPr>
          </w:p>
        </w:tc>
        <w:tc>
          <w:tcPr>
            <w:tcW w:w="2070" w:type="dxa"/>
            <w:tcBorders>
              <w:top w:val="nil"/>
              <w:left w:val="nil"/>
              <w:right w:val="nil"/>
            </w:tcBorders>
          </w:tcPr>
          <w:p w14:paraId="4E93A2BB" w14:textId="77777777" w:rsidR="009407AF" w:rsidRPr="001951C4" w:rsidRDefault="009407AF" w:rsidP="00C2206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10D6ACF7"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16B628B8" w14:textId="77777777" w:rsidR="009407AF" w:rsidRPr="001951C4" w:rsidRDefault="009407AF" w:rsidP="00C2206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1DB9F9CC"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track.</w:t>
      </w:r>
    </w:p>
    <w:p w14:paraId="02B0C741"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Mean duration of migration, with standard deviation and range.</w:t>
      </w:r>
    </w:p>
    <w:p w14:paraId="52D8A84F"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Mean distance of migration, with standard deviation and range.</w:t>
      </w:r>
    </w:p>
    <w:p w14:paraId="5CBDB22C"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Median and range of migratory initiation dates.</w:t>
      </w:r>
    </w:p>
    <w:p w14:paraId="746919CC"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Median and range of migratory termination dates.</w:t>
      </w:r>
    </w:p>
    <w:p w14:paraId="7F0FA2D0"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individuals which underwent a dispersal among all birds tracked for at least one month (n = 456), including the percentage of birds which underwent a dispersal and the number of dispersals associated with males and females. Note that one bird underwent two dispersals, bringing the total number of dispersal movements detected to 4 for the full model and 3 for the base model.</w:t>
      </w:r>
    </w:p>
    <w:p w14:paraId="15E60192"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Number of individuals which underwent a foray loop among all birds tracked for at least one month (n = 456), including the percentage of birds which underwent a foray loop and the number of foray loops associated with males and females.</w:t>
      </w:r>
    </w:p>
    <w:p w14:paraId="33D70931" w14:textId="77777777" w:rsidR="009407AF" w:rsidRPr="001951C4" w:rsidRDefault="009407AF" w:rsidP="009407AF">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Number of individuals which underwent a summer migration among all birds tracked throughout May 1st–Sep.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(n = 65), including the percentage of birds which underwent a summer migration and the number of summer migrations associated with males and females.</w:t>
      </w:r>
    </w:p>
    <w:p w14:paraId="06E53CC6" w14:textId="180E1341" w:rsidR="009407AF" w:rsidRDefault="009407AF">
      <w:r>
        <w:br w:type="page"/>
      </w:r>
    </w:p>
    <w:p w14:paraId="6F057010" w14:textId="77777777" w:rsidR="00F24B66" w:rsidRDefault="00F24B66"/>
    <w:sectPr w:rsidR="00F2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B8"/>
    <w:rsid w:val="001C007D"/>
    <w:rsid w:val="003109FB"/>
    <w:rsid w:val="00425998"/>
    <w:rsid w:val="00754CE3"/>
    <w:rsid w:val="007A068A"/>
    <w:rsid w:val="009407AF"/>
    <w:rsid w:val="00952092"/>
    <w:rsid w:val="00A70289"/>
    <w:rsid w:val="00AB0CB8"/>
    <w:rsid w:val="00D1638D"/>
    <w:rsid w:val="00ED1977"/>
    <w:rsid w:val="00F2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1302"/>
  <w15:chartTrackingRefBased/>
  <w15:docId w15:val="{9FA17A9E-7AE7-428C-B2BD-A057D3F3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998"/>
    <w:rPr>
      <w:rFonts w:ascii="Calibri" w:eastAsia="Calibri" w:hAnsi="Calibri" w:cs="Calibri"/>
      <w:kern w:val="0"/>
      <w14:ligatures w14:val="none"/>
    </w:rPr>
  </w:style>
  <w:style w:type="paragraph" w:styleId="Heading1">
    <w:name w:val="heading 1"/>
    <w:basedOn w:val="Normal"/>
    <w:next w:val="Normal"/>
    <w:link w:val="Heading1Char"/>
    <w:uiPriority w:val="9"/>
    <w:qFormat/>
    <w:rsid w:val="00AB0CB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B0CB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B0CB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B0CB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B0CB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B0CB8"/>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B0CB8"/>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B0CB8"/>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B0CB8"/>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CB8"/>
    <w:rPr>
      <w:rFonts w:eastAsiaTheme="majorEastAsia" w:cstheme="majorBidi"/>
      <w:color w:val="272727" w:themeColor="text1" w:themeTint="D8"/>
    </w:rPr>
  </w:style>
  <w:style w:type="paragraph" w:styleId="Title">
    <w:name w:val="Title"/>
    <w:basedOn w:val="Normal"/>
    <w:next w:val="Normal"/>
    <w:link w:val="TitleChar"/>
    <w:uiPriority w:val="10"/>
    <w:qFormat/>
    <w:rsid w:val="00AB0CB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0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CB8"/>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0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CB8"/>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B0CB8"/>
    <w:rPr>
      <w:i/>
      <w:iCs/>
      <w:color w:val="404040" w:themeColor="text1" w:themeTint="BF"/>
    </w:rPr>
  </w:style>
  <w:style w:type="paragraph" w:styleId="ListParagraph">
    <w:name w:val="List Paragraph"/>
    <w:basedOn w:val="Normal"/>
    <w:uiPriority w:val="34"/>
    <w:qFormat/>
    <w:rsid w:val="00AB0CB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B0CB8"/>
    <w:rPr>
      <w:i/>
      <w:iCs/>
      <w:color w:val="0F4761" w:themeColor="accent1" w:themeShade="BF"/>
    </w:rPr>
  </w:style>
  <w:style w:type="paragraph" w:styleId="IntenseQuote">
    <w:name w:val="Intense Quote"/>
    <w:basedOn w:val="Normal"/>
    <w:next w:val="Normal"/>
    <w:link w:val="IntenseQuoteChar"/>
    <w:uiPriority w:val="30"/>
    <w:qFormat/>
    <w:rsid w:val="00AB0CB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B0CB8"/>
    <w:rPr>
      <w:i/>
      <w:iCs/>
      <w:color w:val="0F4761" w:themeColor="accent1" w:themeShade="BF"/>
    </w:rPr>
  </w:style>
  <w:style w:type="character" w:styleId="IntenseReference">
    <w:name w:val="Intense Reference"/>
    <w:basedOn w:val="DefaultParagraphFont"/>
    <w:uiPriority w:val="32"/>
    <w:qFormat/>
    <w:rsid w:val="00AB0CB8"/>
    <w:rPr>
      <w:b/>
      <w:bCs/>
      <w:smallCaps/>
      <w:color w:val="0F4761" w:themeColor="accent1" w:themeShade="BF"/>
      <w:spacing w:val="5"/>
    </w:rPr>
  </w:style>
  <w:style w:type="table" w:styleId="TableGrid">
    <w:name w:val="Table Grid"/>
    <w:basedOn w:val="TableNormal"/>
    <w:uiPriority w:val="39"/>
    <w:rsid w:val="009407AF"/>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4</cp:revision>
  <dcterms:created xsi:type="dcterms:W3CDTF">2024-05-24T15:50:00Z</dcterms:created>
  <dcterms:modified xsi:type="dcterms:W3CDTF">2024-05-24T16:10:00Z</dcterms:modified>
</cp:coreProperties>
</file>