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E5D8" w14:textId="48196487" w:rsidR="00F24B66" w:rsidRDefault="007009AC" w:rsidP="000D609A">
      <w:pPr>
        <w:spacing w:line="480" w:lineRule="auto"/>
        <w:rPr>
          <w:b/>
          <w:bCs/>
        </w:rPr>
      </w:pPr>
      <w:r>
        <w:rPr>
          <w:b/>
          <w:bCs/>
        </w:rPr>
        <w:t>1 Introduction</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commentRangeStart w:id="0"/>
      <w:r>
        <w:rPr>
          <w:i/>
          <w:iCs/>
        </w:rPr>
        <w:t>2.1 Data collection and preprocessing</w:t>
      </w:r>
      <w:commentRangeEnd w:id="0"/>
      <w:r w:rsidR="00B256DE">
        <w:rPr>
          <w:rStyle w:val="CommentReference"/>
        </w:rPr>
        <w:commentReference w:id="0"/>
      </w:r>
    </w:p>
    <w:p w14:paraId="7F8EA4E1" w14:textId="0CC47B20" w:rsidR="00074D54" w:rsidRDefault="009A0710" w:rsidP="00BC7FFE">
      <w:pPr>
        <w:spacing w:line="480" w:lineRule="auto"/>
      </w:pPr>
      <w:r>
        <w:t>We collected satellite GPS data</w:t>
      </w:r>
      <w:r w:rsidR="00E94423">
        <w:t xml:space="preserve"> with altitude readings</w:t>
      </w:r>
      <w:r>
        <w:t xml:space="preserve"> from </w:t>
      </w:r>
      <w:r w:rsidR="00E94423">
        <w:t>20</w:t>
      </w:r>
      <w:r w:rsidR="00B256DE">
        <w:t>20</w:t>
      </w:r>
      <w:r w:rsidRPr="00512241">
        <w:t>–202</w:t>
      </w:r>
      <w:r w:rsidR="00B256DE">
        <w:t>4</w:t>
      </w:r>
      <w:r>
        <w:t xml:space="preserve"> using </w:t>
      </w:r>
      <w:r w:rsidRPr="00512241">
        <w:t>4–7 g PinPoint GPS transmitters (Lotek Wireless Inc., Newmarket, Ontario, CA)</w:t>
      </w:r>
      <w:r>
        <w:t xml:space="preserve"> as a part of a larger collaborative effort by the Eastern Woodcock Migration Research Cooperative </w:t>
      </w:r>
      <w:r>
        <w:fldChar w:fldCharType="begin"/>
      </w:r>
      <w:r>
        <w:instrText xml:space="preserve"> ADDIN ZOTERO_ITEM CSL_CITATION {"citationID":"FwmSNGtM","properties":{"formattedCitation":"(Blomberg et al. 2023, Clements et al. 2024, Fish et al. 2024)","plainCitation":"(Blomberg et al. 2023, Clements et al. 2024, Fish et al. 2024)","noteIndex":0},"citationItems":[{"id":408,"uris":["http://zotero.org/users/10854879/items/YF6LGWE3"],"itemData":{"id":408,"type":"article-journal","abstract":"Abstract\n            \n              American woodcock (\n              Scolopax minor\n              ; woodcock) are monitored, in part, by counts of displaying male woodcock collected via the American Woodcock Singing Ground Survey (SGS), which suggests long</w:instrText>
      </w:r>
      <w:r>
        <w:rPr>
          <w:rFonts w:ascii="Cambria Math" w:hAnsi="Cambria Math" w:cs="Cambria Math"/>
        </w:rPr>
        <w:instrText>‐</w:instrText>
      </w:r>
      <w:r>
        <w:instrText>term, range</w:instrText>
      </w:r>
      <w:r>
        <w:rPr>
          <w:rFonts w:ascii="Cambria Math" w:hAnsi="Cambria Math" w:cs="Cambria Math"/>
        </w:rPr>
        <w:instrText>‐</w:instrText>
      </w:r>
      <w:r>
        <w:instrText>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w:instrText>
      </w:r>
      <w:r>
        <w:rPr>
          <w:rFonts w:ascii="Cambria Math" w:hAnsi="Cambria Math" w:cs="Cambria Math"/>
        </w:rPr>
        <w:instrText>‐</w:instrText>
      </w:r>
      <w:r>
        <w:instrText xml:space="preserve">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id":721,"uris":["http://zotero.org/users/10854879/items/YWUHZWNJ"],"itemData":{"id":721,"type":"article-journal","container-title":"Ornithology","note":"publisher: Oxford University Press US","page":"ukae008","source":"Google Scholar","title":"Satellite tracking of American Woodcock reveals a gradient of migration strategies","author":[{"family":"Clements","given":"Sarah J."},{"family":"Berigan","given":"Liam A."},{"family":"Fish","given":"Alexander C."},{"family":"Darling","given":"Rachel L."},{"family":"Roth","given":"Amber M."},{"family":"Balkcom","given":"Greg"},{"family":"Carpenter","given":"Bobbi"},{"family":"Costanzo","given":"Gary"},{"family":"Duguay","given":"Jeffrey"},{"family":"Filkins","given":"Kayleigh"}],"issued":{"date-parts":[["2024"]]}}},{"id":755,"uris":["http://zotero.org/users/10854879/items/D2U8UP58"],"itemData":{"id":755,"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fldChar w:fldCharType="separate"/>
      </w:r>
      <w:r w:rsidRPr="009A0710">
        <w:rPr>
          <w:rFonts w:ascii="Aptos" w:hAnsi="Aptos"/>
        </w:rPr>
        <w:t>(Blomberg et al. 2023, Clements et al. 2024, Fish et al. 2024)</w:t>
      </w:r>
      <w:r>
        <w:fldChar w:fldCharType="end"/>
      </w:r>
      <w:r>
        <w:t xml:space="preserve">. </w:t>
      </w:r>
      <w:r w:rsidR="00E94423">
        <w:t>Transmitters were deployed by 42 collaborators across the eastern portion of the woodcock’s range</w:t>
      </w:r>
      <w:r w:rsidR="00186988">
        <w:t xml:space="preserve"> and were programmed to collect locations primarily during fall and spring migration. In addition to recording diurnal altitudes, transmitters would record nocturnal altitudes at </w:t>
      </w:r>
      <w:r w:rsidR="00E94423">
        <w:t xml:space="preserve">either </w:t>
      </w:r>
      <w:proofErr w:type="gramStart"/>
      <w:r w:rsidR="00E94423">
        <w:t>0000 or 0100 hours</w:t>
      </w:r>
      <w:proofErr w:type="gramEnd"/>
      <w:r w:rsidR="00E94423">
        <w:t xml:space="preserve"> Eastern Time </w:t>
      </w:r>
      <w:r w:rsidR="00186988">
        <w:t xml:space="preserve">at varying schedules during the migratory season. We subset these readings to only include high quality altitude fixes, and </w:t>
      </w:r>
      <w:r w:rsidR="002E0192">
        <w:t>excluded any locations in which the bird’s migratory or non-migratory state was unknown (</w:t>
      </w:r>
      <w:proofErr w:type="spellStart"/>
      <w:r w:rsidR="002E0192">
        <w:t>Chp</w:t>
      </w:r>
      <w:proofErr w:type="spellEnd"/>
      <w:r w:rsidR="002E0192">
        <w:t>. 2).</w:t>
      </w:r>
      <w:r w:rsidR="00BC7FFE">
        <w:t xml:space="preserve"> </w:t>
      </w:r>
      <w:r w:rsidR="00074D54">
        <w:t xml:space="preserve">We used </w:t>
      </w:r>
      <w:r w:rsidR="00074D54">
        <w:t xml:space="preserve">ArcGIS Pro 3.2.1 </w:t>
      </w:r>
      <w:r w:rsidR="00074D54">
        <w:t>to extract 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7F11EE">
        <w:t xml:space="preserve">, providing a measurement of </w:t>
      </w:r>
      <w:r w:rsidR="00074D54">
        <w:t>height above ground level for each point</w:t>
      </w:r>
      <w:r w:rsidR="008E511A">
        <w:t xml:space="preserve"> </w:t>
      </w:r>
      <w:r w:rsidR="00074D54">
        <w:t>(</w:t>
      </w:r>
      <w:commentRangeStart w:id="1"/>
      <w:r w:rsidR="00074D54">
        <w:t xml:space="preserve">cite </w:t>
      </w:r>
      <w:proofErr w:type="spellStart"/>
      <w:r w:rsidR="00074D54">
        <w:t>tk</w:t>
      </w:r>
      <w:commentRangeEnd w:id="1"/>
      <w:proofErr w:type="spellEnd"/>
      <w:r w:rsidR="007F11EE">
        <w:rPr>
          <w:rStyle w:val="CommentReference"/>
        </w:rPr>
        <w:commentReference w:id="1"/>
      </w:r>
      <w:r w:rsidR="00074D54">
        <w:t>)</w:t>
      </w:r>
      <w:r w:rsidR="00074D54">
        <w:t xml:space="preserve">. </w:t>
      </w:r>
      <w:r w:rsidR="009C4DE4">
        <w:t xml:space="preserve">We normalized </w:t>
      </w:r>
      <w:r w:rsidR="008E511A">
        <w:t>height above ground level</w:t>
      </w:r>
      <w:r w:rsidR="009C4DE4">
        <w:t xml:space="preserve"> measurements to between -1 and 1 based on the maximum observed altitude in the dataset (</w:t>
      </w:r>
      <w:r w:rsidR="009C4DE4" w:rsidRPr="009C4DE4">
        <w:t>2183</w:t>
      </w:r>
      <w:r w:rsidR="009C4DE4">
        <w:t xml:space="preserve">m). </w:t>
      </w:r>
      <w:r w:rsidR="00074D54">
        <w:t xml:space="preserve">We then </w:t>
      </w:r>
      <w:r w:rsidR="00B3560A">
        <w:t>identified locations</w:t>
      </w:r>
      <w:r w:rsidR="00074D54">
        <w:t xml:space="preserve"> that were collected at night during </w:t>
      </w:r>
      <w:r w:rsidR="00B3560A">
        <w:t>each</w:t>
      </w:r>
      <w:r w:rsidR="00074D54">
        <w:t xml:space="preserve"> woodcock’s </w:t>
      </w:r>
      <w:proofErr w:type="gramStart"/>
      <w:r w:rsidR="00074D54">
        <w:t>individually-delineated</w:t>
      </w:r>
      <w:proofErr w:type="gramEnd"/>
      <w:r w:rsidR="00074D54">
        <w:t xml:space="preserve"> migration</w:t>
      </w:r>
      <w:r w:rsidR="00B3560A">
        <w:t xml:space="preserve"> (</w:t>
      </w:r>
      <w:proofErr w:type="spellStart"/>
      <w:r w:rsidR="00B3560A">
        <w:t>Chp</w:t>
      </w:r>
      <w:proofErr w:type="spellEnd"/>
      <w:r w:rsidR="00B3560A">
        <w:t>. 2)</w:t>
      </w:r>
      <w:r w:rsidR="00B256DE">
        <w:t xml:space="preserve">. Locations which met these requirements were designated as possible flight locations, while other locations were designated as </w:t>
      </w:r>
      <w:r w:rsidR="00B256DE">
        <w:t>definitive non-flight locations</w:t>
      </w:r>
      <w:r w:rsidR="00B256DE">
        <w:t xml:space="preserve"> for further analysis.</w:t>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009A104B" w:rsidR="00676994" w:rsidRPr="00676994" w:rsidRDefault="00676994" w:rsidP="000D609A">
      <w:pPr>
        <w:spacing w:line="480" w:lineRule="auto"/>
        <w:rPr>
          <w:rFonts w:eastAsiaTheme="minorEastAsia"/>
        </w:rPr>
      </w:pPr>
      <w:r>
        <w:t>Our model of woodcock flight altitudes included both possible flight locations and definitive non-flight locations, with each class of data informing a different aspect of the model. D</w:t>
      </w:r>
      <w:r>
        <w:t>efinitive non-flight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 xml:space="preserve">). As such, </w:t>
      </w:r>
      <w:r>
        <w:t>d</w:t>
      </w:r>
      <w:r>
        <w:t>efinitive non-flight locations</w:t>
      </w:r>
      <w:r>
        <w:t xml:space="preserve"> </w:t>
      </w:r>
      <w:r>
        <w:lastRenderedPageBreak/>
        <w:t>could be used to estimate the error terms of the model. P</w:t>
      </w:r>
      <w:r>
        <w:t>ossible flight locations</w:t>
      </w:r>
      <w:r>
        <w:t xml:space="preserve"> had either a true altitude of 0m,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w:t>
      </w:r>
      <w:r>
        <w:rPr>
          <w:rFonts w:eastAsiaTheme="minorEastAsia"/>
        </w:rPr>
        <w:t>=</w:t>
      </w:r>
      <w:r>
        <w:rPr>
          <w:rFonts w:eastAsiaTheme="minorEastAsia"/>
        </w:rPr>
        <w:t xml:space="preserve"> </w:t>
      </w:r>
      <m:oMath>
        <m:r>
          <w:rPr>
            <w:rFonts w:ascii="Cambria Math" w:hAnsi="Cambria Math"/>
          </w:rPr>
          <m:t>E</m:t>
        </m:r>
      </m:oMath>
      <w:r>
        <w:rPr>
          <w:rFonts w:eastAsiaTheme="minorEastAsia"/>
        </w:rPr>
        <w:t>,</w:t>
      </w:r>
      <w:r>
        <w:t xml:space="preserve"> or some flight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Pr>
          <w:rFonts w:eastAsiaTheme="minorEastAsia"/>
        </w:rPr>
        <w:t xml:space="preserve"> </w:t>
      </w:r>
      <m:oMath>
        <m:r>
          <w:rPr>
            <w:rFonts w:ascii="Cambria Math" w:hAnsi="Cambria Math"/>
          </w:rPr>
          <m:t>E</m:t>
        </m:r>
      </m:oMath>
      <w:r>
        <w:rPr>
          <w:rFonts w:eastAsiaTheme="minorEastAsia"/>
        </w:rPr>
        <w:t>. Thus, possible flight locations could be used to</w:t>
      </w:r>
      <w:r w:rsidR="005E00B7" w:rsidRPr="005E00B7">
        <w:rPr>
          <w:rFonts w:eastAsiaTheme="minorEastAsia"/>
        </w:rPr>
        <w:t xml:space="preserve"> </w:t>
      </w:r>
      <w:r w:rsidR="005E00B7">
        <w:rPr>
          <w:rFonts w:eastAsiaTheme="minorEastAsia"/>
        </w:rPr>
        <w:t>jointly</w:t>
      </w:r>
      <w:r>
        <w:rPr>
          <w:rFonts w:eastAsiaTheme="minorEastAsia"/>
        </w:rPr>
        <w:t xml:space="preserve"> estimate their own non-flight/flight state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with 0 indicating a ground location and 1 indicating a flight location</w:t>
      </w:r>
      <w:r>
        <w:t xml:space="preserve">) and the distribution from which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was drawn.</w:t>
      </w:r>
      <w:r>
        <w:rPr>
          <w:rFonts w:eastAsiaTheme="minorEastAsia"/>
        </w:rPr>
        <w:t xml:space="preserve"> The model we used to do so was structured as </w:t>
      </w:r>
      <w:proofErr w:type="gramStart"/>
      <w:r>
        <w:rPr>
          <w:rFonts w:eastAsiaTheme="minorEastAsia"/>
        </w:rPr>
        <w:t>follows</w:t>
      </w:r>
      <w:proofErr w:type="gramEnd"/>
    </w:p>
    <w:p w14:paraId="411C2723" w14:textId="5D026DB2" w:rsidR="00B83ECD" w:rsidRDefault="00B83ECD" w:rsidP="00B83ECD">
      <w:pPr>
        <w:pStyle w:val="Caption"/>
      </w:pPr>
      <w:r>
        <w:t xml:space="preserve">Equation </w:t>
      </w:r>
      <w:r>
        <w:fldChar w:fldCharType="begin"/>
      </w:r>
      <w:r>
        <w:instrText xml:space="preserve"> SEQ Equation \* ARABIC </w:instrText>
      </w:r>
      <w:r>
        <w:fldChar w:fldCharType="separate"/>
      </w:r>
      <w:r>
        <w:rPr>
          <w:noProof/>
        </w:rPr>
        <w:t>1</w:t>
      </w:r>
      <w:r>
        <w:fldChar w:fldCharType="end"/>
      </w:r>
    </w:p>
    <w:p w14:paraId="6FF5CDD3" w14:textId="47B45002" w:rsidR="008B2228" w:rsidRPr="008B2228" w:rsidRDefault="006927AD"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m:t>
          </m:r>
          <m:r>
            <w:rPr>
              <w:rFonts w:ascii="Cambria Math" w:hAnsi="Cambria Math"/>
            </w:rPr>
            <m:t xml:space="preserve">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m:t>
          </m:r>
          <m:r>
            <w:rPr>
              <w:rFonts w:ascii="Cambria Math" w:eastAsiaTheme="minorEastAsia" w:hAnsi="Cambria Math"/>
            </w:rPr>
            <m:t xml:space="preserv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6927AD"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oMath>
      </m:oMathPara>
    </w:p>
    <w:p w14:paraId="58DDEC1A" w14:textId="1A3FC75C"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set to a known value of 0 for all definitive non-flight locations and used as an estimable parameter for all possible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6927AD">
        <w:rPr>
          <w:rFonts w:eastAsiaTheme="minorEastAsia"/>
        </w:rPr>
        <w:t xml:space="preserve">, based on </w:t>
      </w:r>
      <w:commentRangeStart w:id="2"/>
      <w:commentRangeStart w:id="3"/>
      <w:commentRangeStart w:id="4"/>
      <w:r w:rsidR="006927AD">
        <w:rPr>
          <w:rFonts w:eastAsiaTheme="minorEastAsia"/>
        </w:rPr>
        <w:t>…</w:t>
      </w:r>
      <w:commentRangeEnd w:id="2"/>
      <w:r w:rsidR="006927AD">
        <w:rPr>
          <w:rStyle w:val="CommentReference"/>
        </w:rPr>
        <w:commentReference w:id="2"/>
      </w:r>
      <w:commentRangeEnd w:id="3"/>
      <w:r w:rsidR="00B83ECD">
        <w:rPr>
          <w:rStyle w:val="CommentReference"/>
        </w:rPr>
        <w:commentReference w:id="3"/>
      </w:r>
      <w:commentRangeEnd w:id="4"/>
      <w:r w:rsidR="00074D54">
        <w:rPr>
          <w:rStyle w:val="CommentReference"/>
        </w:rPr>
        <w:commentReference w:id="4"/>
      </w:r>
      <w:r w:rsidR="0044038E">
        <w:rPr>
          <w:rFonts w:eastAsiaTheme="minorEastAsia"/>
        </w:rPr>
        <w:t xml:space="preserve"> The measurement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219B3">
        <w:rPr>
          <w:rFonts w:eastAsiaTheme="minorEastAsia"/>
        </w:rPr>
        <w:t xml:space="preserve">The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w</w:t>
      </w:r>
      <w:r w:rsidR="008219B3">
        <w:rPr>
          <w:rFonts w:eastAsiaTheme="minorEastAsia"/>
        </w:rPr>
        <w:t>as</w:t>
      </w:r>
      <w:r w:rsidR="0044038E">
        <w:rPr>
          <w:rFonts w:eastAsiaTheme="minorEastAsia"/>
        </w:rPr>
        <w:t xml:space="preserve"> modeled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B83ECD">
        <w:rPr>
          <w:rFonts w:eastAsiaTheme="minorEastAsia"/>
        </w:rPr>
        <w:fldChar w:fldCharType="begin"/>
      </w:r>
      <w:r w:rsidR="00B83ECD">
        <w:rPr>
          <w:rFonts w:eastAsiaTheme="minorEastAsia"/>
        </w:rPr>
        <w:instrText xml:space="preserve"> ADDIN ZOTERO_ITEM CSL_CITATION {"citationID":"hYdrP7Wp","properties":{"formattedCitation":"(McElreath 2018)","plainCitation":"(McElreath 2018)","noteIndex":0},"citationItems":[{"id":758,"uris":["http://zotero.org/users/10854879/items/KH8M78ED"],"itemData":{"id":758,"type":"book","publisher":"Chapman and Hall/CRC","source":"Google Scholar","title":"Statistical rethinking: A Bayesian course with examples in R and Stan","title-short":"Statistical rethinking","URL":"https://www.taylorfrancis.com/books/mono/10.1201/9781315372495/statistical-rethinking-richard-mcelreath","author":[{"family":"McElreath","given":"Richard"}],"accessed":{"date-parts":[["2024",3,20]]},"issued":{"date-parts":[["2018"]]}}}],"schema":"https://github.com/citation-style-language/schema/raw/master/csl-citation.json"} </w:instrText>
      </w:r>
      <w:r w:rsidR="00B83ECD">
        <w:rPr>
          <w:rFonts w:eastAsiaTheme="minorEastAsia"/>
        </w:rPr>
        <w:fldChar w:fldCharType="separate"/>
      </w:r>
      <w:r w:rsidR="00B83ECD" w:rsidRPr="00B83ECD">
        <w:rPr>
          <w:rFonts w:ascii="Aptos" w:hAnsi="Aptos"/>
        </w:rPr>
        <w:t>(McElreath 2018)</w:t>
      </w:r>
      <w:r w:rsidR="00B83ECD">
        <w:rPr>
          <w:rFonts w:eastAsiaTheme="minorEastAsia"/>
        </w:rPr>
        <w:fldChar w:fldCharType="end"/>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proofErr w:type="gramStart"/>
      <w:r>
        <w:rPr>
          <w:rFonts w:eastAsiaTheme="minorEastAsia"/>
        </w:rPr>
        <w:t>parameters</w:t>
      </w:r>
      <w:proofErr w:type="gramEnd"/>
    </w:p>
    <w:p w14:paraId="45D6CD87" w14:textId="21687F3E" w:rsidR="00B83ECD" w:rsidRPr="00B83ECD" w:rsidRDefault="00B83ECD" w:rsidP="00B83ECD">
      <w:pPr>
        <w:pStyle w:val="Caption"/>
        <w:rPr>
          <w:rFonts w:eastAsiaTheme="minorEastAsia"/>
          <w:i w:val="0"/>
        </w:rPr>
      </w:pPr>
      <w:r>
        <w:t xml:space="preserve">Equation </w:t>
      </w:r>
      <w:r>
        <w:fldChar w:fldCharType="begin"/>
      </w:r>
      <w:r>
        <w:instrText xml:space="preserve"> SEQ Equation \* ARABIC </w:instrText>
      </w:r>
      <w:r>
        <w:fldChar w:fldCharType="separate"/>
      </w:r>
      <w:r>
        <w:rPr>
          <w:noProof/>
        </w:rPr>
        <w:t>2</w:t>
      </w:r>
      <w:r>
        <w:fldChar w:fldCharType="end"/>
      </w:r>
    </w:p>
    <w:p w14:paraId="5465BDC8" w14:textId="2EF6AE22" w:rsidR="00B83ECD" w:rsidRPr="00B83ECD" w:rsidRDefault="00B83ECD"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r>
                <w:rPr>
                  <w:rFonts w:ascii="Cambria Math" w:eastAsiaTheme="minorEastAsia" w:hAnsi="Cambria Math"/>
                </w:rPr>
                <m:t>,g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7CC678C1"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47F5B14E" w14:textId="7E6BF659" w:rsidR="005E00B7"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in program JAGS </w:t>
      </w:r>
      <w:r w:rsidR="00B3560A">
        <w:rPr>
          <w:rFonts w:eastAsiaTheme="minorEastAsia"/>
        </w:rPr>
        <w:fldChar w:fldCharType="begin"/>
      </w:r>
      <w:r w:rsidR="00B3560A">
        <w:rPr>
          <w:rFonts w:eastAsiaTheme="minorEastAsia"/>
        </w:rPr>
        <w:instrText xml:space="preserve"> ADDIN ZOTERO_ITEM CSL_CITATION {"citationID":"2Vcu5dFz","properties":{"formattedCitation":"(Plummer 2003)","plainCitation":"(Plummer 2003)","noteIndex":0},"citationItems":[{"id":664,"uris":["http://zotero.org/users/10854879/items/9XXPSUSD"],"itemData":{"id":664,"type":"paper-conference","container-title":"Proceedings of the 3rd international workshop on distributed statistical computing","note":"issue: 125.10","page":"1–10","publisher":"Vienna, Austria","source":"Google Scholar","title":"JAGS: A program for analysis of Bayesian graphical models using Gibbs sampling","title-short":"JAGS","URL":"https://www.r-project.org/conferences/DSC-2003/Drafts/Plummer.pdf","volume":"124","author":[{"family":"Plummer","given":"Martyn"}],"accessed":{"date-parts":[["2024",3,12]]},"issued":{"date-parts":[["2003"]]}}}],"schema":"https://github.com/citation-style-language/schema/raw/master/csl-citation.json"} </w:instrText>
      </w:r>
      <w:r w:rsidR="00B3560A">
        <w:rPr>
          <w:rFonts w:eastAsiaTheme="minorEastAsia"/>
        </w:rPr>
        <w:fldChar w:fldCharType="separate"/>
      </w:r>
      <w:r w:rsidR="00B3560A" w:rsidRPr="00B3560A">
        <w:rPr>
          <w:rFonts w:ascii="Aptos" w:hAnsi="Aptos"/>
        </w:rPr>
        <w:t>(Plummer 2003)</w:t>
      </w:r>
      <w:r w:rsidR="00B3560A">
        <w:rPr>
          <w:rFonts w:eastAsiaTheme="minorEastAsia"/>
        </w:rPr>
        <w:fldChar w:fldCharType="end"/>
      </w:r>
      <w:r w:rsidR="00090808">
        <w:rPr>
          <w:rFonts w:eastAsiaTheme="minorEastAsia"/>
        </w:rPr>
        <w:t xml:space="preserve"> running 4 chains at 200 000 iterations with 10 000 iterations burn-in and </w:t>
      </w:r>
      <w:r w:rsidR="00B3560A">
        <w:rPr>
          <w:rFonts w:eastAsiaTheme="minorEastAsia"/>
        </w:rPr>
        <w:t>no sample thinning</w:t>
      </w:r>
      <w:r w:rsidR="00090808">
        <w:rPr>
          <w:rFonts w:eastAsiaTheme="minorEastAsia"/>
        </w:rPr>
        <w:t>. All models</w:t>
      </w:r>
      <w:r w:rsidR="00313632">
        <w:rPr>
          <w:rFonts w:eastAsiaTheme="minorEastAsia"/>
        </w:rPr>
        <w:t xml:space="preserve"> described above</w:t>
      </w:r>
      <w:r w:rsidR="00090808">
        <w:rPr>
          <w:rFonts w:eastAsiaTheme="minorEastAsia"/>
        </w:rPr>
        <w:t xml:space="preserve"> were checked for convergence using trace plots and reported R-hat values &lt; 1.1. A fourth model, with sex used as the group variable, was tested but did not converge, and so the results are not included below. </w:t>
      </w:r>
      <w:r>
        <w:rPr>
          <w:rFonts w:eastAsiaTheme="minorEastAsia"/>
        </w:rPr>
        <w:t xml:space="preserve">We ran these models using the transformed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 afterwards for evaluation. We described the posteriors of 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and sampling the mean and standard deviation of each simulated distribution. We </w:t>
      </w:r>
      <w:r w:rsidR="005E00B7">
        <w:rPr>
          <w:rFonts w:eastAsiaTheme="minorEastAsia"/>
        </w:rPr>
        <w:t xml:space="preserve">designated locations with a </w:t>
      </w:r>
      <w:r w:rsidR="005E00B7">
        <w:rPr>
          <w:rFonts w:eastAsiaTheme="minorEastAsia"/>
        </w:rPr>
        <w:t>posterior probability density of</w:t>
      </w:r>
      <w:r w:rsidR="005E00B7">
        <w:rPr>
          <w:rFonts w:eastAsiaTheme="minorEastAsia"/>
        </w:rPr>
        <w:t xml:space="preserve"> &gt;0.5 for</w:t>
      </w:r>
      <w:r w:rsidR="005E00B7">
        <w:rPr>
          <w:rFonts w:eastAsiaTheme="minorEastAsia"/>
        </w:rPr>
        <w:t xml:space="preserve"> </w:t>
      </w:r>
      <m:oMath>
        <m:r>
          <w:rPr>
            <w:rFonts w:ascii="Cambria Math" w:hAnsi="Cambria Math"/>
          </w:rPr>
          <m:t>I</m:t>
        </m:r>
      </m:oMath>
      <w:r w:rsidR="005E00B7">
        <w:rPr>
          <w:rFonts w:eastAsiaTheme="minorEastAsia"/>
        </w:rPr>
        <w:t xml:space="preserve"> = 1</w:t>
      </w:r>
      <w:r w:rsidR="005E00B7">
        <w:rPr>
          <w:rFonts w:eastAsiaTheme="minorEastAsia"/>
        </w:rPr>
        <w:t xml:space="preserve"> as likely flight locations for the purpose of calculating sample sizes.</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51886A1A" w:rsidR="0074002D" w:rsidRPr="00594946" w:rsidRDefault="009A3185" w:rsidP="000D609A">
      <w:pPr>
        <w:spacing w:line="480" w:lineRule="auto"/>
      </w:pPr>
      <w:r>
        <w:t xml:space="preserve">We measured how often woodcock flight altitudes occurred in height intervals associated with NEXRAD minimum detectable altitudes and several airspace obstacles. We estimated the minimum detectable flight altitude of NEXRAD based on the minimum altitude recorded in </w:t>
      </w:r>
      <w:commentRangeStart w:id="5"/>
      <w:r>
        <w:fldChar w:fldCharType="begin"/>
      </w:r>
      <w:r>
        <w:instrText xml:space="preserve"> ADDIN ZOTERO_ITEM CSL_CITATION {"citationID":"cPmqPVtB","properties":{"formattedCitation":"(Horton et al. 2016)","plainCitation":"(Horton et al. 2016)","noteIndex":0},"citationItems":[{"id":607,"uris":["http://zotero.org/users/10854879/items/DQSWVICX"],"itemData":{"id":607,"type":"article-journal","abstract":"The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9A3185">
        <w:rPr>
          <w:rFonts w:ascii="Aptos" w:hAnsi="Aptos"/>
        </w:rPr>
        <w:t xml:space="preserve">Horton et al. </w:t>
      </w:r>
      <w:r>
        <w:rPr>
          <w:rFonts w:ascii="Aptos" w:hAnsi="Aptos"/>
        </w:rPr>
        <w:t>(</w:t>
      </w:r>
      <w:r w:rsidRPr="009A3185">
        <w:rPr>
          <w:rFonts w:ascii="Aptos" w:hAnsi="Aptos"/>
        </w:rPr>
        <w:t>2016</w:t>
      </w:r>
      <w:r>
        <w:rPr>
          <w:rFonts w:ascii="Aptos" w:hAnsi="Aptos"/>
        </w:rPr>
        <w:t xml:space="preserve">; </w:t>
      </w:r>
      <w:proofErr w:type="spellStart"/>
      <w:r>
        <w:rPr>
          <w:rFonts w:ascii="Aptos" w:hAnsi="Aptos"/>
        </w:rPr>
        <w:t>tk</w:t>
      </w:r>
      <w:proofErr w:type="spellEnd"/>
      <w:r>
        <w:rPr>
          <w:rFonts w:ascii="Aptos" w:hAnsi="Aptos"/>
        </w:rPr>
        <w:t xml:space="preserve"> m</w:t>
      </w:r>
      <w:r w:rsidRPr="009A3185">
        <w:rPr>
          <w:rFonts w:ascii="Aptos" w:hAnsi="Aptos"/>
        </w:rPr>
        <w:t>)</w:t>
      </w:r>
      <w:r>
        <w:fldChar w:fldCharType="end"/>
      </w:r>
      <w:commentRangeEnd w:id="5"/>
      <w:r w:rsidR="005742F0">
        <w:rPr>
          <w:rStyle w:val="CommentReference"/>
        </w:rPr>
        <w:commentReference w:id="5"/>
      </w:r>
      <w:r>
        <w:t xml:space="preserve">, and estimated the proportion of woodcock flight locations </w:t>
      </w:r>
      <w:r w:rsidR="00FB1F8B">
        <w:t xml:space="preserve">(represented by the posterior of </w:t>
      </w:r>
      <m:oMath>
        <m:r>
          <w:rPr>
            <w:rFonts w:ascii="Cambria Math" w:eastAsiaTheme="minorEastAsia" w:hAnsi="Cambria Math"/>
          </w:rPr>
          <m:t>Gamma(α,β)</m:t>
        </m:r>
      </m:oMath>
      <w:r w:rsidR="00FB1F8B">
        <w:t>) which fell below this threshold</w:t>
      </w:r>
      <w:r>
        <w:t>.</w:t>
      </w:r>
      <w:r w:rsidR="00FB1F8B">
        <w:t xml:space="preserve"> </w:t>
      </w:r>
      <w:r w:rsidR="00194AB5">
        <w:t xml:space="preserve">As </w:t>
      </w:r>
      <w:r w:rsidR="00FB1F8B">
        <w:t>low-rise buildings (defined as residential buildings 4</w:t>
      </w:r>
      <w:r w:rsidR="00FB1F8B">
        <w:t>–</w:t>
      </w:r>
      <w:r w:rsidR="00FB1F8B">
        <w:t xml:space="preserve">11 stories and non-residential buildings ≤11 stories) result in the majority of </w:t>
      </w:r>
      <w:r w:rsidR="00FB1F8B">
        <w:lastRenderedPageBreak/>
        <w:t xml:space="preserve">window collision mortalities in the United States </w:t>
      </w:r>
      <w:r w:rsidR="00FB1F8B">
        <w:fldChar w:fldCharType="begin"/>
      </w:r>
      <w:r w:rsidR="00FB1F8B">
        <w:instrText xml:space="preserve"> ADDIN ZOTERO_ITEM CSL_CITATION {"citationID":"ESVOP45L","properties":{"formattedCitation":"(Loss et al. 2014)","plainCitation":"(Loss et al. 2014)","noteIndex":0},"citationItems":[{"id":746,"uris":["http://zotero.org/users/10854879/items/WMT4L5HP"],"itemData":{"id":746,"type":"article-journal","container-title":"The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00FB1F8B">
        <w:fldChar w:fldCharType="separate"/>
      </w:r>
      <w:r w:rsidR="00FB1F8B" w:rsidRPr="00FB1F8B">
        <w:rPr>
          <w:rFonts w:ascii="Aptos" w:hAnsi="Aptos"/>
        </w:rPr>
        <w:t>(</w:t>
      </w:r>
      <w:r w:rsidR="005742F0">
        <w:rPr>
          <w:rFonts w:ascii="Aptos" w:hAnsi="Aptos"/>
        </w:rPr>
        <w:t>est. 339 million</w:t>
      </w:r>
      <w:r w:rsidR="00DA3A8E">
        <w:rPr>
          <w:rFonts w:ascii="Aptos" w:hAnsi="Aptos"/>
        </w:rPr>
        <w:t xml:space="preserve"> per annum</w:t>
      </w:r>
      <w:r w:rsidR="005742F0">
        <w:rPr>
          <w:rFonts w:ascii="Aptos" w:hAnsi="Aptos"/>
        </w:rPr>
        <w:t xml:space="preserve">; </w:t>
      </w:r>
      <w:r w:rsidR="00FB1F8B" w:rsidRPr="00FB1F8B">
        <w:rPr>
          <w:rFonts w:ascii="Aptos" w:hAnsi="Aptos"/>
        </w:rPr>
        <w:t>Loss et al. 2014)</w:t>
      </w:r>
      <w:r w:rsidR="00FB1F8B">
        <w:fldChar w:fldCharType="end"/>
      </w:r>
      <w:r w:rsidR="00194AB5">
        <w:t>, w</w:t>
      </w:r>
      <w:r w:rsidR="00194AB5">
        <w:t>e also estimated the proportion of locations which were at an altitude below that of a</w:t>
      </w:r>
      <w:r w:rsidR="00194AB5">
        <w:t>n 11-story</w:t>
      </w:r>
      <w:r w:rsidR="00194AB5">
        <w:t xml:space="preserve"> low-rise building</w:t>
      </w:r>
      <w:r w:rsidR="00194AB5">
        <w:t xml:space="preserve"> (47m).</w:t>
      </w:r>
      <w:r w:rsidR="005742F0">
        <w:t xml:space="preserve"> </w:t>
      </w:r>
      <w:r w:rsidR="00DA3A8E">
        <w:t>W</w:t>
      </w:r>
      <w:r w:rsidR="005742F0">
        <w:t xml:space="preserve">ind turbines also result in substantial avian mortality during migration </w:t>
      </w:r>
      <w:r w:rsidR="005742F0">
        <w:fldChar w:fldCharType="begin"/>
      </w:r>
      <w:r w:rsidR="005742F0">
        <w:instrText xml:space="preserve"> ADDIN ZOTERO_ITEM CSL_CITATION {"citationID":"gkxnEXJL","properties":{"formattedCitation":"(Loss et al. 2013)","plainCitation":"(Loss et al. 2013)","noteIndex":0},"citationItems":[{"id":739,"uris":["http://zotero.org/users/10854879/items/IU6NARCD"],"itemData":{"id":739,"type":"article-journal","abstract":"Wind energy has emerged as a promising alternative to fossil fuels, yet the impacts of wind facilities on wildlife remain unclear. Prior studies estimate between 10,000 and 573,000 fatal bird collisions with U.S. wind turbines annually; however, these studies do not differentiate between turbines with a monopole tower and those with a lattice tower, the former of which now comprise the vast majority of all U.S. wind turbines and the latter of which are largely being de-commissioned. We systematically derived an estimate of bird mortality for U.S. monopole turbines by applying inclusion criteria to compiled studies, identifying correlates of mortality, and utilizing a predictive model to estimate mortality along with uncertainty. Despite measures taken to increase analytical rigor, the studies we used may provide a non-random representation of all data; requiring industry reports to be made publicly available would improve understanding of wind energy impacts. Nonetheless, we estimate that between 140,000 and 328,000 (mean=234,000) birds are killed annually by collisions with monopole turbines in the contiguous U.S. We found support for an increase in mortality with increasing turbine hub height and support for differing mortality rates among regions, with per turbine mortality lowest in the Great Plains. Evaluation of risks to birds is warranted prior to continuing a widespread shift to taller wind turbines. Regional patterns of collision risk, while not obviating the need for species-specific and local-scale assessments, may inform broad-scale decisions about wind facility siting.","container-title":"Biological Conservation","DOI":"10.1016/j.biocon.2013.10.007","ISSN":"0006-3207","journalAbbreviation":"Biological Conservation","page":"201-209","source":"ScienceDirect","title":"Estimates of bird collision mortality at wind facilities in the contiguous United States","volume":"168","author":[{"family":"Loss","given":"Scott R."},{"family":"Will","given":"Tom"},{"family":"Marra","given":"Peter P."}],"issued":{"date-parts":[["2013",12,1]]}}}],"schema":"https://github.com/citation-style-language/schema/raw/master/csl-citation.json"} </w:instrText>
      </w:r>
      <w:r w:rsidR="005742F0">
        <w:fldChar w:fldCharType="separate"/>
      </w:r>
      <w:r w:rsidR="005742F0" w:rsidRPr="005742F0">
        <w:rPr>
          <w:rFonts w:ascii="Aptos" w:hAnsi="Aptos"/>
        </w:rPr>
        <w:t>(</w:t>
      </w:r>
      <w:r w:rsidR="00DA3A8E">
        <w:rPr>
          <w:rFonts w:ascii="Aptos" w:hAnsi="Aptos"/>
        </w:rPr>
        <w:t xml:space="preserve">est. 234 thousand per annum; </w:t>
      </w:r>
      <w:r w:rsidR="005742F0" w:rsidRPr="005742F0">
        <w:rPr>
          <w:rFonts w:ascii="Aptos" w:hAnsi="Aptos"/>
        </w:rPr>
        <w:t>Loss et al. 2013)</w:t>
      </w:r>
      <w:r w:rsidR="005742F0">
        <w:fldChar w:fldCharType="end"/>
      </w:r>
      <w:r w:rsidR="005742F0">
        <w:t>,</w:t>
      </w:r>
      <w:r w:rsidR="00DA3A8E">
        <w:t xml:space="preserve"> so</w:t>
      </w:r>
      <w:r w:rsidR="005742F0">
        <w:t xml:space="preserve"> we estimated the proportion of woodcock flight locations which fell within the rotor sweep of the average land-based wind turbine installed in 2022 (32</w:t>
      </w:r>
      <w:r w:rsidR="005742F0">
        <w:t>–1</w:t>
      </w:r>
      <w:r w:rsidR="005742F0">
        <w:t xml:space="preserve">64m; </w:t>
      </w:r>
      <w:r w:rsidR="005742F0">
        <w:fldChar w:fldCharType="begin"/>
      </w:r>
      <w:r w:rsidR="005742F0">
        <w:instrText xml:space="preserve"> ADDIN ZOTERO_ITEM CSL_CITATION {"citationID":"rcoJULS9","properties":{"formattedCitation":"(U.S. Department of Energy 2023)","plainCitation":"(U.S. Department of Energy 2023)","noteIndex":0},"citationItems":[{"id":738,"uris":["http://zotero.org/users/10854879/items/JAN3B6YU"],"itemData":{"id":738,"type":"article-journal","language":"en","source":"Zotero","title":"Land-Based Wind Market Report: 2023 Edition","author":[{"literal":"U.S. Department of Energy"}],"issued":{"date-parts":[["2023"]]}}}],"schema":"https://github.com/citation-style-language/schema/raw/master/csl-citation.json"} </w:instrText>
      </w:r>
      <w:r w:rsidR="005742F0">
        <w:fldChar w:fldCharType="separate"/>
      </w:r>
      <w:r w:rsidR="005742F0" w:rsidRPr="005742F0">
        <w:rPr>
          <w:rFonts w:ascii="Aptos" w:hAnsi="Aptos"/>
        </w:rPr>
        <w:t>U.S. Department of Energy 2023)</w:t>
      </w:r>
      <w:r w:rsidR="005742F0">
        <w:fldChar w:fldCharType="end"/>
      </w:r>
      <w:r w:rsidR="005742F0">
        <w:t>. Finally, we measured the proportion of woodcock flight locations which fell below the height of a 244m communication tower, as these towers are responsible for 5</w:t>
      </w:r>
      <w:r w:rsidR="005742F0">
        <w:t>–</w:t>
      </w:r>
      <w:r w:rsidR="005742F0">
        <w:t xml:space="preserve">70x as many collisions as shorter towers </w:t>
      </w:r>
      <w:r w:rsidR="005742F0">
        <w:fldChar w:fldCharType="begin"/>
      </w:r>
      <w:r w:rsidR="005742F0">
        <w:instrText xml:space="preserve"> ADDIN ZOTERO_ITEM CSL_CITATION {"citationID":"4uCIjmla","properties":{"formattedCitation":"(Gehring et al. 2011)","plainCitation":"(Gehring et al. 2011)","noteIndex":0},"citationItems":[{"id":744,"uris":["http://zotero.org/users/10854879/items/ET2ZCRSA"],"itemData":{"id":744,"type":"article-journal","abstract":"Abstract\n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005742F0">
        <w:rPr>
          <w:rFonts w:ascii="Arial" w:hAnsi="Arial" w:cs="Arial"/>
        </w:rPr>
        <w:instrText> </w:instrText>
      </w:r>
      <w:r w:rsidR="005742F0">
        <w:instrText>m above ground level (AGL, medium) and 3 were &gt;305</w:instrText>
      </w:r>
      <w:r w:rsidR="005742F0">
        <w:rPr>
          <w:rFonts w:ascii="Arial" w:hAnsi="Arial" w:cs="Arial"/>
        </w:rPr>
        <w:instrText> </w:instrText>
      </w:r>
      <w:r w:rsidR="005742F0">
        <w:instrText>m AGL (tall). During the five 20</w:instrText>
      </w:r>
      <w:r w:rsidR="005742F0">
        <w:rPr>
          <w:rFonts w:ascii="Cambria Math" w:hAnsi="Cambria Math" w:cs="Cambria Math"/>
        </w:rPr>
        <w:instrText>‐</w:instrText>
      </w:r>
      <w:r w:rsidR="005742F0">
        <w:instrText>day sample periods we found a mean of 8.2 bird carcasses per guyed medium tower and a mean of 0.5 bird carcasses under unguyed medium towers. During four 20</w:instrText>
      </w:r>
      <w:r w:rsidR="005742F0">
        <w:rPr>
          <w:rFonts w:ascii="Cambria Math" w:hAnsi="Cambria Math" w:cs="Cambria Math"/>
        </w:rPr>
        <w:instrText>‐</w:instrText>
      </w:r>
      <w:r w:rsidR="005742F0">
        <w:instrText>day sample periods we detected a mean of 34.7 birds per guyed tall tower. Using both parametric and nonparametric tests (Mann</w:instrText>
      </w:r>
      <w:r w:rsidR="005742F0">
        <w:rPr>
          <w:rFonts w:ascii="Aptos" w:hAnsi="Aptos" w:cs="Aptos"/>
        </w:rPr>
        <w:instrText>–</w:instrText>
      </w:r>
      <w:r w:rsidR="005742F0">
        <w:instrText xml:space="preserve">Whitney\n              U\n              </w:instrText>
      </w:r>
      <w:r w:rsidR="005742F0">
        <w:rPr>
          <w:rFonts w:ascii="Cambria Math" w:hAnsi="Cambria Math" w:cs="Cambria Math"/>
        </w:rPr>
        <w:instrText>‐</w:instrText>
      </w:r>
      <w:r w:rsidR="005742F0">
        <w:instrText>test, Kruskal</w:instrText>
      </w:r>
      <w:r w:rsidR="005742F0">
        <w:rPr>
          <w:rFonts w:ascii="Aptos" w:hAnsi="Aptos" w:cs="Aptos"/>
        </w:rPr>
        <w:instrText>–</w:instrText>
      </w:r>
      <w:r w:rsidR="005742F0">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005742F0">
        <w:fldChar w:fldCharType="separate"/>
      </w:r>
      <w:r w:rsidR="005742F0" w:rsidRPr="005742F0">
        <w:rPr>
          <w:rFonts w:ascii="Aptos" w:hAnsi="Aptos"/>
        </w:rPr>
        <w:t>(</w:t>
      </w:r>
      <w:r w:rsidR="00DA3A8E">
        <w:rPr>
          <w:rFonts w:ascii="Aptos" w:hAnsi="Aptos"/>
        </w:rPr>
        <w:t>total communication tower mortality: 4</w:t>
      </w:r>
      <w:r w:rsidR="00DA3A8E">
        <w:t>–</w:t>
      </w:r>
      <w:r w:rsidR="00DA3A8E">
        <w:t>5 million birds per annum</w:t>
      </w:r>
      <w:r w:rsidR="00DA3A8E">
        <w:rPr>
          <w:rFonts w:ascii="Aptos" w:hAnsi="Aptos"/>
        </w:rPr>
        <w:t xml:space="preserve">; </w:t>
      </w:r>
      <w:r w:rsidR="005742F0" w:rsidRPr="005742F0">
        <w:rPr>
          <w:rFonts w:ascii="Aptos" w:hAnsi="Aptos"/>
        </w:rPr>
        <w:t>Gehring et al. 2011)</w:t>
      </w:r>
      <w:r w:rsidR="005742F0">
        <w:fldChar w:fldCharType="end"/>
      </w:r>
      <w:r w:rsidR="005742F0">
        <w:t>.</w:t>
      </w:r>
    </w:p>
    <w:p w14:paraId="5A06F8C6" w14:textId="2290A9B5" w:rsidR="007009AC" w:rsidRDefault="007009AC" w:rsidP="000D609A">
      <w:pPr>
        <w:spacing w:line="480" w:lineRule="auto"/>
        <w:rPr>
          <w:b/>
          <w:bCs/>
        </w:rPr>
      </w:pPr>
      <w:r>
        <w:rPr>
          <w:b/>
          <w:bCs/>
        </w:rPr>
        <w:t>3 Results</w:t>
      </w:r>
    </w:p>
    <w:p w14:paraId="3DFA762F" w14:textId="68C70F76" w:rsidR="005531E8" w:rsidRDefault="00295708" w:rsidP="00D14C5C">
      <w:pPr>
        <w:spacing w:line="480" w:lineRule="auto"/>
      </w:pPr>
      <w:r>
        <w:t xml:space="preserve">We </w:t>
      </w:r>
      <w:r w:rsidR="006F4315">
        <w:t xml:space="preserve">collected </w:t>
      </w:r>
      <w:r w:rsidR="00367CB1">
        <w:t>12 558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 xml:space="preserve">tions based on time of day and migratory classification. The model predicted that </w:t>
      </w:r>
      <w:proofErr w:type="spellStart"/>
      <w:r w:rsidR="00A9200F">
        <w:t>tk</w:t>
      </w:r>
      <w:proofErr w:type="spellEnd"/>
      <w:r w:rsidR="00A9200F">
        <w:t xml:space="preserve"> of these locations were mo</w:t>
      </w:r>
      <w:r w:rsidR="00FB5911">
        <w:t>st</w:t>
      </w:r>
      <w:r w:rsidR="00A9200F">
        <w:t xml:space="preserve"> likely </w:t>
      </w:r>
      <w:r w:rsidR="00FB5911">
        <w:t>recorded when the bird was in flight</w:t>
      </w:r>
      <w:r w:rsidR="00A51234">
        <w:t xml:space="preserve"> (fall: </w:t>
      </w:r>
      <w:proofErr w:type="spellStart"/>
      <w:r w:rsidR="00B534C8">
        <w:t>tk</w:t>
      </w:r>
      <w:proofErr w:type="spellEnd"/>
      <w:r w:rsidR="00B534C8">
        <w:t xml:space="preserve"> locations, spring: </w:t>
      </w:r>
      <w:proofErr w:type="spellStart"/>
      <w:r w:rsidR="00B534C8">
        <w:t>tk</w:t>
      </w:r>
      <w:proofErr w:type="spellEnd"/>
      <w:r w:rsidR="00B534C8">
        <w:t xml:space="preserve">; adult: </w:t>
      </w:r>
      <w:proofErr w:type="spellStart"/>
      <w:r w:rsidR="00B534C8">
        <w:t>tk</w:t>
      </w:r>
      <w:proofErr w:type="spellEnd"/>
      <w:r w:rsidR="00B534C8">
        <w:t xml:space="preserve">, juvenile </w:t>
      </w:r>
      <w:proofErr w:type="spellStart"/>
      <w:r w:rsidR="00B534C8">
        <w:t>tk</w:t>
      </w:r>
      <w:proofErr w:type="spellEnd"/>
      <w:r w:rsidR="00A51234">
        <w:t>)</w:t>
      </w:r>
      <w:r w:rsidR="00A9200F">
        <w:t>.</w:t>
      </w:r>
      <w:r w:rsidR="006B2C9E">
        <w:t xml:space="preserve"> </w:t>
      </w:r>
      <w:r w:rsidR="004054B5">
        <w:t>Woodcock have an estimated median flight altitude of 262m and a</w:t>
      </w:r>
      <w:r w:rsidR="001E1C1E">
        <w:t xml:space="preserve"> </w:t>
      </w:r>
      <w:r w:rsidR="00B91509">
        <w:t>mean</w:t>
      </w:r>
      <w:r w:rsidR="004054B5">
        <w:t xml:space="preserve"> flight altitude of </w:t>
      </w:r>
      <w:r w:rsidR="00B91509">
        <w:t xml:space="preserve">364m (Table 1). </w:t>
      </w:r>
      <w:r w:rsidR="00D93C8E">
        <w:t xml:space="preserve">Woodcock fly at </w:t>
      </w:r>
      <w:r w:rsidR="002601A0">
        <w:t xml:space="preserve">mean </w:t>
      </w:r>
      <w:r w:rsidR="00D93C8E">
        <w:t xml:space="preserve">altitudes of </w:t>
      </w:r>
      <w:r w:rsidR="00D54B6E">
        <w:t>312</w:t>
      </w:r>
      <w:r w:rsidR="00D93C8E">
        <w:t xml:space="preserve">m in fall and </w:t>
      </w:r>
      <w:r w:rsidR="0018205B">
        <w:t>428</w:t>
      </w:r>
      <w:r w:rsidR="00D93C8E">
        <w:t xml:space="preserve">m in spring, with no overlap in the 50% credible intervals of those seasons (Fig. 1). Adult woodcock fly at </w:t>
      </w:r>
      <w:r w:rsidR="002601A0">
        <w:t xml:space="preserve">mean </w:t>
      </w:r>
      <w:r w:rsidR="00D93C8E">
        <w:t xml:space="preserve">altitudes of </w:t>
      </w:r>
      <w:r w:rsidR="0018205B">
        <w:t>400</w:t>
      </w:r>
      <w:r w:rsidR="002601A0">
        <w:t>m, while juvenile</w:t>
      </w:r>
      <w:r w:rsidR="009E4DA3">
        <w:t xml:space="preserve">s fly at altitudes of </w:t>
      </w:r>
      <w:r w:rsidR="00EF70E9">
        <w:t>344</w:t>
      </w:r>
      <w:r w:rsidR="009E4DA3">
        <w:t xml:space="preserve">m, with </w:t>
      </w:r>
      <w:r w:rsidR="001F0E2B">
        <w:t xml:space="preserve">some </w:t>
      </w:r>
      <w:r w:rsidR="009E4DA3">
        <w:t xml:space="preserve">overlap in the 50% credible </w:t>
      </w:r>
      <w:r w:rsidR="00471DA6">
        <w:t>intervals of those age classes (</w:t>
      </w:r>
      <w:r w:rsidR="001F0E2B">
        <w:t>Fig. 2</w:t>
      </w:r>
      <w:r w:rsidR="00471DA6">
        <w:t>).</w:t>
      </w:r>
      <w:r w:rsidR="003321FE">
        <w:t xml:space="preserve"> </w:t>
      </w:r>
      <w:r w:rsidR="00746262">
        <w:t>Almost half of woodcock</w:t>
      </w:r>
      <w:r w:rsidR="005531E8">
        <w:t xml:space="preserve"> flight</w:t>
      </w:r>
      <w:r w:rsidR="00746262">
        <w:t xml:space="preserve"> locations were at </w:t>
      </w:r>
      <w:r w:rsidR="003321FE">
        <w:t>altitudes &lt;</w:t>
      </w:r>
      <w:r w:rsidR="00A71473">
        <w:t>244</w:t>
      </w:r>
      <w:r w:rsidR="003321FE">
        <w:t xml:space="preserve">m, </w:t>
      </w:r>
      <w:r w:rsidR="00792630">
        <w:t xml:space="preserve">posing potential </w:t>
      </w:r>
      <w:r w:rsidR="00BE7E05">
        <w:t>risks for collisions with low-rise buildings, wind turbines, and communications towers (Fig. 3).</w:t>
      </w:r>
    </w:p>
    <w:p w14:paraId="6847E3C8" w14:textId="65B803AA" w:rsidR="005B49D7" w:rsidRDefault="005531E8" w:rsidP="005531E8">
      <w:r>
        <w:br w:type="page"/>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lastRenderedPageBreak/>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r>
              <w:t>50%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r>
              <w:t>95%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0627BC1E" w:rsidR="005B49D7" w:rsidRPr="00DA1989" w:rsidRDefault="0051198F" w:rsidP="00BD0A0C">
            <w:pPr>
              <w:spacing w:after="120"/>
              <w:rPr>
                <w:b/>
                <w:bCs/>
              </w:rPr>
            </w:pPr>
            <w:r w:rsidRPr="00DA1989">
              <w:rPr>
                <w:b/>
                <w:bCs/>
              </w:rPr>
              <w:t>262m</w:t>
            </w:r>
          </w:p>
        </w:tc>
        <w:tc>
          <w:tcPr>
            <w:tcW w:w="2338" w:type="dxa"/>
            <w:tcBorders>
              <w:left w:val="nil"/>
              <w:bottom w:val="nil"/>
              <w:right w:val="nil"/>
            </w:tcBorders>
          </w:tcPr>
          <w:p w14:paraId="2C0517CB" w14:textId="54EC08B8" w:rsidR="005B49D7" w:rsidRPr="00DA1989" w:rsidRDefault="009746FB" w:rsidP="00BD0A0C">
            <w:pPr>
              <w:spacing w:after="120"/>
              <w:rPr>
                <w:b/>
                <w:bCs/>
              </w:rPr>
            </w:pPr>
            <w:r w:rsidRPr="00DA1989">
              <w:rPr>
                <w:b/>
                <w:bCs/>
              </w:rPr>
              <w:t>239–285m</w:t>
            </w:r>
          </w:p>
        </w:tc>
        <w:tc>
          <w:tcPr>
            <w:tcW w:w="2338" w:type="dxa"/>
            <w:tcBorders>
              <w:left w:val="nil"/>
              <w:bottom w:val="nil"/>
              <w:right w:val="nil"/>
            </w:tcBorders>
          </w:tcPr>
          <w:p w14:paraId="5A6E91BF" w14:textId="6414386A" w:rsidR="005B49D7" w:rsidRPr="00DA1989" w:rsidRDefault="00AD67F8" w:rsidP="00BD0A0C">
            <w:pPr>
              <w:spacing w:after="120"/>
              <w:rPr>
                <w:b/>
                <w:bCs/>
              </w:rPr>
            </w:pPr>
            <w:r w:rsidRPr="00DA1989">
              <w:rPr>
                <w:b/>
                <w:bCs/>
              </w:rPr>
              <w:t>195–332m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3BD90E4E" w:rsidR="00F14154" w:rsidRPr="00DA1989" w:rsidRDefault="003E4DF1" w:rsidP="00BD0A0C">
            <w:pPr>
              <w:spacing w:after="120"/>
            </w:pPr>
            <w:r w:rsidRPr="00DA1989">
              <w:t>225m</w:t>
            </w:r>
          </w:p>
        </w:tc>
        <w:tc>
          <w:tcPr>
            <w:tcW w:w="2338" w:type="dxa"/>
            <w:tcBorders>
              <w:top w:val="nil"/>
              <w:left w:val="nil"/>
              <w:bottom w:val="nil"/>
              <w:right w:val="nil"/>
            </w:tcBorders>
          </w:tcPr>
          <w:p w14:paraId="6753CA10" w14:textId="23F397DF" w:rsidR="00F14154" w:rsidRPr="00DA1989" w:rsidRDefault="00CF63D8" w:rsidP="00BD0A0C">
            <w:pPr>
              <w:spacing w:after="120"/>
            </w:pPr>
            <w:r w:rsidRPr="00DA1989">
              <w:t>196–252m</w:t>
            </w:r>
          </w:p>
        </w:tc>
        <w:tc>
          <w:tcPr>
            <w:tcW w:w="2338" w:type="dxa"/>
            <w:tcBorders>
              <w:top w:val="nil"/>
              <w:left w:val="nil"/>
              <w:bottom w:val="nil"/>
              <w:right w:val="nil"/>
            </w:tcBorders>
          </w:tcPr>
          <w:p w14:paraId="147BA553" w14:textId="0CBB394A" w:rsidR="00F14154" w:rsidRPr="00DA1989" w:rsidRDefault="00CB0B69" w:rsidP="00BD0A0C">
            <w:pPr>
              <w:spacing w:after="120"/>
            </w:pPr>
            <w:r w:rsidRPr="00DA1989">
              <w:t>148–312m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E16F985" w:rsidR="00F14154" w:rsidRPr="00DA1989" w:rsidRDefault="00005E45" w:rsidP="00BD0A0C">
            <w:pPr>
              <w:spacing w:after="120"/>
            </w:pPr>
            <w:r w:rsidRPr="00DA1989">
              <w:t>319m</w:t>
            </w:r>
          </w:p>
        </w:tc>
        <w:tc>
          <w:tcPr>
            <w:tcW w:w="2338" w:type="dxa"/>
            <w:tcBorders>
              <w:top w:val="nil"/>
              <w:left w:val="nil"/>
              <w:bottom w:val="nil"/>
              <w:right w:val="nil"/>
            </w:tcBorders>
          </w:tcPr>
          <w:p w14:paraId="3607528C" w14:textId="14F09904" w:rsidR="00F14154" w:rsidRPr="00DA1989" w:rsidRDefault="007568D5" w:rsidP="00BD0A0C">
            <w:pPr>
              <w:spacing w:after="120"/>
            </w:pPr>
            <w:r w:rsidRPr="00DA1989">
              <w:t>282–355m</w:t>
            </w:r>
          </w:p>
        </w:tc>
        <w:tc>
          <w:tcPr>
            <w:tcW w:w="2338" w:type="dxa"/>
            <w:tcBorders>
              <w:top w:val="nil"/>
              <w:left w:val="nil"/>
              <w:bottom w:val="nil"/>
              <w:right w:val="nil"/>
            </w:tcBorders>
          </w:tcPr>
          <w:p w14:paraId="51F68E83" w14:textId="06B38285" w:rsidR="00F14154" w:rsidRPr="00DA1989" w:rsidRDefault="007B2DA9" w:rsidP="00BD0A0C">
            <w:pPr>
              <w:spacing w:after="120"/>
            </w:pPr>
            <w:r w:rsidRPr="00DA1989">
              <w:t>216–427m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525073A6" w:rsidR="00BA52D1" w:rsidRDefault="00342DE8" w:rsidP="00BD0A0C">
            <w:pPr>
              <w:spacing w:after="120"/>
            </w:pPr>
            <w:r>
              <w:t>294m</w:t>
            </w:r>
          </w:p>
        </w:tc>
        <w:tc>
          <w:tcPr>
            <w:tcW w:w="2338" w:type="dxa"/>
            <w:tcBorders>
              <w:top w:val="nil"/>
              <w:left w:val="nil"/>
              <w:bottom w:val="nil"/>
              <w:right w:val="nil"/>
            </w:tcBorders>
          </w:tcPr>
          <w:p w14:paraId="3E9EBC14" w14:textId="79EE9B16" w:rsidR="00BA52D1" w:rsidRDefault="00A53F71" w:rsidP="00BD0A0C">
            <w:pPr>
              <w:spacing w:after="120"/>
            </w:pPr>
            <w:r>
              <w:t>254–333m</w:t>
            </w:r>
          </w:p>
        </w:tc>
        <w:tc>
          <w:tcPr>
            <w:tcW w:w="2338" w:type="dxa"/>
            <w:tcBorders>
              <w:top w:val="nil"/>
              <w:left w:val="nil"/>
              <w:bottom w:val="nil"/>
              <w:right w:val="nil"/>
            </w:tcBorders>
          </w:tcPr>
          <w:p w14:paraId="6AA2161E" w14:textId="4A2F194E" w:rsidR="00BA52D1" w:rsidRDefault="001D4E66" w:rsidP="00BD0A0C">
            <w:pPr>
              <w:spacing w:after="120"/>
            </w:pPr>
            <w:r>
              <w:t>185–408m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4E571542" w:rsidR="00BA52D1" w:rsidRDefault="00E0552E" w:rsidP="00BD0A0C">
            <w:pPr>
              <w:spacing w:after="120"/>
            </w:pPr>
            <w:r>
              <w:t>260m</w:t>
            </w:r>
          </w:p>
        </w:tc>
        <w:tc>
          <w:tcPr>
            <w:tcW w:w="2338" w:type="dxa"/>
            <w:tcBorders>
              <w:top w:val="nil"/>
              <w:left w:val="nil"/>
              <w:bottom w:val="nil"/>
              <w:right w:val="nil"/>
            </w:tcBorders>
          </w:tcPr>
          <w:p w14:paraId="3C252399" w14:textId="79FCC799" w:rsidR="00BA52D1" w:rsidRDefault="00FA73D8" w:rsidP="00BD0A0C">
            <w:pPr>
              <w:spacing w:after="120"/>
            </w:pPr>
            <w:r>
              <w:t>231–288m</w:t>
            </w:r>
          </w:p>
        </w:tc>
        <w:tc>
          <w:tcPr>
            <w:tcW w:w="2338" w:type="dxa"/>
            <w:tcBorders>
              <w:top w:val="nil"/>
              <w:left w:val="nil"/>
              <w:bottom w:val="nil"/>
              <w:right w:val="nil"/>
            </w:tcBorders>
          </w:tcPr>
          <w:p w14:paraId="77D38A1B" w14:textId="4CDA59C5" w:rsidR="00BA52D1" w:rsidRDefault="00D82BB7" w:rsidP="00BD0A0C">
            <w:pPr>
              <w:spacing w:after="120"/>
            </w:pPr>
            <w:r>
              <w:t>182–345m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349FB1D0" w:rsidR="005B49D7" w:rsidRPr="00BC43FC" w:rsidRDefault="00715E7E" w:rsidP="00BD0A0C">
            <w:pPr>
              <w:spacing w:after="120"/>
              <w:rPr>
                <w:b/>
                <w:bCs/>
              </w:rPr>
            </w:pPr>
            <w:r w:rsidRPr="00BC43FC">
              <w:rPr>
                <w:b/>
                <w:bCs/>
              </w:rPr>
              <w:t>364m</w:t>
            </w:r>
          </w:p>
        </w:tc>
        <w:tc>
          <w:tcPr>
            <w:tcW w:w="2338" w:type="dxa"/>
            <w:tcBorders>
              <w:top w:val="nil"/>
              <w:left w:val="nil"/>
              <w:bottom w:val="nil"/>
              <w:right w:val="nil"/>
            </w:tcBorders>
          </w:tcPr>
          <w:p w14:paraId="449B303F" w14:textId="57BD1631" w:rsidR="005B49D7" w:rsidRPr="00BC43FC" w:rsidRDefault="00E11FFB" w:rsidP="00BD0A0C">
            <w:pPr>
              <w:spacing w:after="120"/>
              <w:rPr>
                <w:b/>
                <w:bCs/>
              </w:rPr>
            </w:pPr>
            <w:r w:rsidRPr="00BC43FC">
              <w:rPr>
                <w:b/>
                <w:bCs/>
              </w:rPr>
              <w:t>341–386m</w:t>
            </w:r>
          </w:p>
        </w:tc>
        <w:tc>
          <w:tcPr>
            <w:tcW w:w="2338" w:type="dxa"/>
            <w:tcBorders>
              <w:top w:val="nil"/>
              <w:left w:val="nil"/>
              <w:bottom w:val="nil"/>
              <w:right w:val="nil"/>
            </w:tcBorders>
          </w:tcPr>
          <w:p w14:paraId="1096C824" w14:textId="04BBDDE1" w:rsidR="005B49D7" w:rsidRPr="00BC43FC" w:rsidRDefault="00D80132" w:rsidP="00BD0A0C">
            <w:pPr>
              <w:spacing w:after="120"/>
              <w:rPr>
                <w:b/>
                <w:bCs/>
              </w:rPr>
            </w:pPr>
            <w:r w:rsidRPr="00BC43FC">
              <w:rPr>
                <w:b/>
                <w:bCs/>
              </w:rPr>
              <w:t>300–432m</w:t>
            </w:r>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40DEA61C" w:rsidR="00BA52D1" w:rsidRDefault="00EA4EAA" w:rsidP="00BD0A0C">
            <w:pPr>
              <w:spacing w:after="120"/>
            </w:pPr>
            <w:r>
              <w:t>312m</w:t>
            </w:r>
          </w:p>
        </w:tc>
        <w:tc>
          <w:tcPr>
            <w:tcW w:w="2338" w:type="dxa"/>
            <w:tcBorders>
              <w:top w:val="nil"/>
              <w:left w:val="nil"/>
              <w:bottom w:val="nil"/>
              <w:right w:val="nil"/>
            </w:tcBorders>
          </w:tcPr>
          <w:p w14:paraId="173A2D9A" w14:textId="59A390E4" w:rsidR="00BA52D1" w:rsidRDefault="00184E5D" w:rsidP="00BD0A0C">
            <w:pPr>
              <w:spacing w:after="120"/>
            </w:pPr>
            <w:r>
              <w:t>284–338m</w:t>
            </w:r>
          </w:p>
        </w:tc>
        <w:tc>
          <w:tcPr>
            <w:tcW w:w="2338" w:type="dxa"/>
            <w:tcBorders>
              <w:top w:val="nil"/>
              <w:left w:val="nil"/>
              <w:bottom w:val="nil"/>
              <w:right w:val="nil"/>
            </w:tcBorders>
          </w:tcPr>
          <w:p w14:paraId="2DF43374" w14:textId="267B10DF" w:rsidR="00BA52D1" w:rsidRDefault="00FF7BFE" w:rsidP="00BD0A0C">
            <w:pPr>
              <w:spacing w:after="120"/>
            </w:pPr>
            <w:r>
              <w:t>239–398m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3B058AFE" w:rsidR="00BA52D1" w:rsidRDefault="00993A5D" w:rsidP="00BD0A0C">
            <w:pPr>
              <w:spacing w:after="120"/>
            </w:pPr>
            <w:r>
              <w:t>428m</w:t>
            </w:r>
          </w:p>
        </w:tc>
        <w:tc>
          <w:tcPr>
            <w:tcW w:w="2338" w:type="dxa"/>
            <w:tcBorders>
              <w:top w:val="nil"/>
              <w:left w:val="nil"/>
              <w:bottom w:val="nil"/>
              <w:right w:val="nil"/>
            </w:tcBorders>
          </w:tcPr>
          <w:p w14:paraId="6E1BD128" w14:textId="092531F3" w:rsidR="00BA52D1" w:rsidRDefault="00A04705" w:rsidP="00BD0A0C">
            <w:pPr>
              <w:spacing w:after="120"/>
            </w:pPr>
            <w:r>
              <w:t>392–463m</w:t>
            </w:r>
          </w:p>
        </w:tc>
        <w:tc>
          <w:tcPr>
            <w:tcW w:w="2338" w:type="dxa"/>
            <w:tcBorders>
              <w:top w:val="nil"/>
              <w:left w:val="nil"/>
              <w:bottom w:val="nil"/>
              <w:right w:val="nil"/>
            </w:tcBorders>
          </w:tcPr>
          <w:p w14:paraId="3C33CDD6" w14:textId="0A02A114" w:rsidR="00BA52D1" w:rsidRDefault="001C5565" w:rsidP="00BD0A0C">
            <w:pPr>
              <w:spacing w:after="120"/>
            </w:pPr>
            <w:r>
              <w:t>326–539m</w:t>
            </w:r>
          </w:p>
        </w:tc>
      </w:tr>
      <w:tr w:rsidR="00BA52D1" w14:paraId="2C638EFC" w14:textId="77777777" w:rsidTr="00D47E9B">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0A8248E5" w:rsidR="00BA52D1" w:rsidRDefault="005E0E66" w:rsidP="00BD0A0C">
            <w:pPr>
              <w:spacing w:after="120"/>
            </w:pPr>
            <w:r>
              <w:t>400m</w:t>
            </w:r>
          </w:p>
        </w:tc>
        <w:tc>
          <w:tcPr>
            <w:tcW w:w="2338" w:type="dxa"/>
            <w:tcBorders>
              <w:top w:val="nil"/>
              <w:left w:val="nil"/>
              <w:bottom w:val="nil"/>
              <w:right w:val="nil"/>
            </w:tcBorders>
          </w:tcPr>
          <w:p w14:paraId="003861A4" w14:textId="2AFBFDAC" w:rsidR="00BA52D1" w:rsidRDefault="00AD4913" w:rsidP="00BD0A0C">
            <w:pPr>
              <w:spacing w:after="120"/>
            </w:pPr>
            <w:r>
              <w:t>360–437m</w:t>
            </w:r>
          </w:p>
        </w:tc>
        <w:tc>
          <w:tcPr>
            <w:tcW w:w="2338" w:type="dxa"/>
            <w:tcBorders>
              <w:top w:val="nil"/>
              <w:left w:val="nil"/>
              <w:bottom w:val="nil"/>
              <w:right w:val="nil"/>
            </w:tcBorders>
          </w:tcPr>
          <w:p w14:paraId="0E068D33" w14:textId="01431EDA" w:rsidR="00BA52D1" w:rsidRDefault="00206E0F" w:rsidP="00BD0A0C">
            <w:pPr>
              <w:spacing w:after="120"/>
            </w:pPr>
            <w:r>
              <w:t>301–516m</w:t>
            </w:r>
          </w:p>
        </w:tc>
      </w:tr>
      <w:tr w:rsidR="00BA52D1" w14:paraId="72C44286" w14:textId="77777777" w:rsidTr="00D47E9B">
        <w:tc>
          <w:tcPr>
            <w:tcW w:w="2515" w:type="dxa"/>
            <w:tcBorders>
              <w:top w:val="nil"/>
              <w:left w:val="nil"/>
              <w:bottom w:val="nil"/>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nil"/>
              <w:right w:val="nil"/>
            </w:tcBorders>
          </w:tcPr>
          <w:p w14:paraId="332B3797" w14:textId="2CA3785C" w:rsidR="00BA52D1" w:rsidRDefault="00357182" w:rsidP="00BD0A0C">
            <w:pPr>
              <w:spacing w:after="120"/>
            </w:pPr>
            <w:r>
              <w:t>344m</w:t>
            </w:r>
          </w:p>
        </w:tc>
        <w:tc>
          <w:tcPr>
            <w:tcW w:w="2338" w:type="dxa"/>
            <w:tcBorders>
              <w:top w:val="nil"/>
              <w:left w:val="nil"/>
              <w:bottom w:val="nil"/>
              <w:right w:val="nil"/>
            </w:tcBorders>
          </w:tcPr>
          <w:p w14:paraId="1C007A91" w14:textId="4D3FA2FC" w:rsidR="00BA52D1" w:rsidRDefault="00E46029" w:rsidP="00BD0A0C">
            <w:pPr>
              <w:spacing w:after="120"/>
            </w:pPr>
            <w:r>
              <w:t>316–370m</w:t>
            </w:r>
          </w:p>
        </w:tc>
        <w:tc>
          <w:tcPr>
            <w:tcW w:w="2338" w:type="dxa"/>
            <w:tcBorders>
              <w:top w:val="nil"/>
              <w:left w:val="nil"/>
              <w:bottom w:val="nil"/>
              <w:right w:val="nil"/>
            </w:tcBorders>
          </w:tcPr>
          <w:p w14:paraId="596AD6EE" w14:textId="4742BEE1" w:rsidR="00BA52D1" w:rsidRDefault="00252E7D" w:rsidP="00BD0A0C">
            <w:pPr>
              <w:spacing w:after="120"/>
            </w:pPr>
            <w:r>
              <w:t>270–430m</w:t>
            </w:r>
          </w:p>
        </w:tc>
      </w:tr>
      <w:tr w:rsidR="00BA52D1" w14:paraId="14BA6A53" w14:textId="77777777" w:rsidTr="00D47E9B">
        <w:tc>
          <w:tcPr>
            <w:tcW w:w="2515" w:type="dxa"/>
            <w:tcBorders>
              <w:top w:val="nil"/>
              <w:left w:val="nil"/>
              <w:bottom w:val="nil"/>
              <w:right w:val="nil"/>
            </w:tcBorders>
          </w:tcPr>
          <w:p w14:paraId="547DCEFD" w14:textId="01BD0710" w:rsidR="00BA52D1" w:rsidRPr="00BC43FC" w:rsidRDefault="00E8222F" w:rsidP="00BD0A0C">
            <w:pPr>
              <w:spacing w:after="120"/>
              <w:rPr>
                <w:b/>
                <w:bCs/>
              </w:rPr>
            </w:pPr>
            <w:r w:rsidRPr="00BC43FC">
              <w:rPr>
                <w:b/>
                <w:bCs/>
              </w:rPr>
              <w:t xml:space="preserve">% of </w:t>
            </w:r>
            <w:r w:rsidR="00DE60FB" w:rsidRPr="00BC43FC">
              <w:rPr>
                <w:b/>
                <w:bCs/>
              </w:rPr>
              <w:t>observations below NEXRAD</w:t>
            </w:r>
            <w:r w:rsidR="008E2635" w:rsidRPr="00BC43FC">
              <w:rPr>
                <w:b/>
                <w:bCs/>
              </w:rPr>
              <w:t xml:space="preserve"> detection altitude</w:t>
            </w:r>
          </w:p>
        </w:tc>
        <w:tc>
          <w:tcPr>
            <w:tcW w:w="2159" w:type="dxa"/>
            <w:tcBorders>
              <w:top w:val="nil"/>
              <w:left w:val="nil"/>
              <w:bottom w:val="nil"/>
              <w:right w:val="nil"/>
            </w:tcBorders>
          </w:tcPr>
          <w:p w14:paraId="797A9327" w14:textId="22ABF80D" w:rsidR="00BA52D1" w:rsidRPr="00BC43FC" w:rsidRDefault="0024518C" w:rsidP="00BD0A0C">
            <w:pPr>
              <w:spacing w:after="120"/>
              <w:rPr>
                <w:b/>
                <w:bCs/>
              </w:rPr>
            </w:pPr>
            <w:r w:rsidRPr="00BC43FC">
              <w:rPr>
                <w:b/>
                <w:bCs/>
              </w:rPr>
              <w:t>33%</w:t>
            </w:r>
          </w:p>
        </w:tc>
        <w:tc>
          <w:tcPr>
            <w:tcW w:w="2338" w:type="dxa"/>
            <w:tcBorders>
              <w:top w:val="nil"/>
              <w:left w:val="nil"/>
              <w:bottom w:val="nil"/>
              <w:right w:val="nil"/>
            </w:tcBorders>
          </w:tcPr>
          <w:p w14:paraId="6E6C37CD" w14:textId="0CDC4A53" w:rsidR="00BA52D1" w:rsidRPr="00BC43FC" w:rsidRDefault="00386539" w:rsidP="00BD0A0C">
            <w:pPr>
              <w:spacing w:after="120"/>
              <w:rPr>
                <w:b/>
                <w:bCs/>
              </w:rPr>
            </w:pPr>
            <w:r w:rsidRPr="00BC43FC">
              <w:rPr>
                <w:b/>
                <w:bCs/>
              </w:rPr>
              <w:t>29–36</w:t>
            </w:r>
            <w:r w:rsidR="008070DF" w:rsidRPr="00BC43FC">
              <w:rPr>
                <w:b/>
                <w:bCs/>
              </w:rPr>
              <w:t>%</w:t>
            </w:r>
          </w:p>
        </w:tc>
        <w:tc>
          <w:tcPr>
            <w:tcW w:w="2338" w:type="dxa"/>
            <w:tcBorders>
              <w:top w:val="nil"/>
              <w:left w:val="nil"/>
              <w:bottom w:val="nil"/>
              <w:right w:val="nil"/>
            </w:tcBorders>
          </w:tcPr>
          <w:p w14:paraId="48A59E65" w14:textId="7A1C1429" w:rsidR="00BA52D1" w:rsidRPr="00BC43FC" w:rsidRDefault="008070DF" w:rsidP="00BD0A0C">
            <w:pPr>
              <w:spacing w:after="120"/>
              <w:rPr>
                <w:b/>
                <w:bCs/>
              </w:rPr>
            </w:pPr>
            <w:r w:rsidRPr="00BC43FC">
              <w:rPr>
                <w:b/>
                <w:bCs/>
              </w:rPr>
              <w:t>23–43%</w:t>
            </w:r>
          </w:p>
        </w:tc>
      </w:tr>
      <w:tr w:rsidR="008E2635" w14:paraId="477AA1B2" w14:textId="77777777" w:rsidTr="00D47E9B">
        <w:tc>
          <w:tcPr>
            <w:tcW w:w="2515" w:type="dxa"/>
            <w:tcBorders>
              <w:top w:val="nil"/>
              <w:left w:val="nil"/>
              <w:bottom w:val="nil"/>
              <w:right w:val="nil"/>
            </w:tcBorders>
          </w:tcPr>
          <w:p w14:paraId="45D049C8" w14:textId="005835BB" w:rsidR="008E2635" w:rsidRDefault="008E2635" w:rsidP="00BD0A0C">
            <w:pPr>
              <w:spacing w:after="120"/>
            </w:pPr>
            <w:r>
              <w:rPr>
                <w:i/>
                <w:iCs/>
              </w:rPr>
              <w:t xml:space="preserve">    Fall</w:t>
            </w:r>
          </w:p>
        </w:tc>
        <w:tc>
          <w:tcPr>
            <w:tcW w:w="2159" w:type="dxa"/>
            <w:tcBorders>
              <w:top w:val="nil"/>
              <w:left w:val="nil"/>
              <w:bottom w:val="nil"/>
              <w:right w:val="nil"/>
            </w:tcBorders>
          </w:tcPr>
          <w:p w14:paraId="62AB4C76" w14:textId="74F15564" w:rsidR="008E2635" w:rsidRDefault="00177B49" w:rsidP="00BD0A0C">
            <w:pPr>
              <w:spacing w:after="120"/>
            </w:pPr>
            <w:r>
              <w:t>37%</w:t>
            </w:r>
          </w:p>
        </w:tc>
        <w:tc>
          <w:tcPr>
            <w:tcW w:w="2338" w:type="dxa"/>
            <w:tcBorders>
              <w:top w:val="nil"/>
              <w:left w:val="nil"/>
              <w:bottom w:val="nil"/>
              <w:right w:val="nil"/>
            </w:tcBorders>
          </w:tcPr>
          <w:p w14:paraId="60A12FDE" w14:textId="62F90826" w:rsidR="008E2635" w:rsidRDefault="005020CB" w:rsidP="00BD0A0C">
            <w:pPr>
              <w:spacing w:after="120"/>
            </w:pPr>
            <w:r>
              <w:t>32–42%</w:t>
            </w:r>
          </w:p>
        </w:tc>
        <w:tc>
          <w:tcPr>
            <w:tcW w:w="2338" w:type="dxa"/>
            <w:tcBorders>
              <w:top w:val="nil"/>
              <w:left w:val="nil"/>
              <w:bottom w:val="nil"/>
              <w:right w:val="nil"/>
            </w:tcBorders>
          </w:tcPr>
          <w:p w14:paraId="22B65229" w14:textId="19251727" w:rsidR="008E2635" w:rsidRDefault="00F56846" w:rsidP="00BD0A0C">
            <w:pPr>
              <w:spacing w:after="120"/>
            </w:pPr>
            <w:r>
              <w:t>23–51%</w:t>
            </w:r>
          </w:p>
        </w:tc>
      </w:tr>
      <w:tr w:rsidR="008E2635" w14:paraId="12E053EF" w14:textId="77777777" w:rsidTr="00D47E9B">
        <w:tc>
          <w:tcPr>
            <w:tcW w:w="2515" w:type="dxa"/>
            <w:tcBorders>
              <w:top w:val="nil"/>
              <w:left w:val="nil"/>
              <w:bottom w:val="nil"/>
              <w:right w:val="nil"/>
            </w:tcBorders>
          </w:tcPr>
          <w:p w14:paraId="7CF59BDE" w14:textId="5311FE88" w:rsidR="008E2635" w:rsidRDefault="008E2635" w:rsidP="00BD0A0C">
            <w:pPr>
              <w:spacing w:after="120"/>
            </w:pPr>
            <w:r>
              <w:t xml:space="preserve">    </w:t>
            </w:r>
            <w:r>
              <w:rPr>
                <w:i/>
                <w:iCs/>
              </w:rPr>
              <w:t>Spring</w:t>
            </w:r>
          </w:p>
        </w:tc>
        <w:tc>
          <w:tcPr>
            <w:tcW w:w="2159" w:type="dxa"/>
            <w:tcBorders>
              <w:top w:val="nil"/>
              <w:left w:val="nil"/>
              <w:bottom w:val="nil"/>
              <w:right w:val="nil"/>
            </w:tcBorders>
          </w:tcPr>
          <w:p w14:paraId="75697CB2" w14:textId="6FA38FB3" w:rsidR="008E2635" w:rsidRDefault="005A0F48" w:rsidP="00BD0A0C">
            <w:pPr>
              <w:spacing w:after="120"/>
            </w:pPr>
            <w:r>
              <w:t>26%</w:t>
            </w:r>
          </w:p>
        </w:tc>
        <w:tc>
          <w:tcPr>
            <w:tcW w:w="2338" w:type="dxa"/>
            <w:tcBorders>
              <w:top w:val="nil"/>
              <w:left w:val="nil"/>
              <w:bottom w:val="nil"/>
              <w:right w:val="nil"/>
            </w:tcBorders>
          </w:tcPr>
          <w:p w14:paraId="6AE1ABFA" w14:textId="365C04F1" w:rsidR="008E2635" w:rsidRDefault="002F5AA7" w:rsidP="00BD0A0C">
            <w:pPr>
              <w:spacing w:after="120"/>
            </w:pPr>
            <w:r>
              <w:t>21–31%</w:t>
            </w:r>
          </w:p>
        </w:tc>
        <w:tc>
          <w:tcPr>
            <w:tcW w:w="2338" w:type="dxa"/>
            <w:tcBorders>
              <w:top w:val="nil"/>
              <w:left w:val="nil"/>
              <w:bottom w:val="nil"/>
              <w:right w:val="nil"/>
            </w:tcBorders>
          </w:tcPr>
          <w:p w14:paraId="6E8F84A3" w14:textId="4776011A" w:rsidR="008E2635" w:rsidRDefault="000103D8" w:rsidP="00BD0A0C">
            <w:pPr>
              <w:spacing w:after="120"/>
            </w:pPr>
            <w:r>
              <w:t>14–41%</w:t>
            </w:r>
          </w:p>
        </w:tc>
      </w:tr>
      <w:tr w:rsidR="008E2635" w14:paraId="62A75C61" w14:textId="77777777" w:rsidTr="00D47E9B">
        <w:tc>
          <w:tcPr>
            <w:tcW w:w="2515" w:type="dxa"/>
            <w:tcBorders>
              <w:top w:val="nil"/>
              <w:left w:val="nil"/>
              <w:bottom w:val="nil"/>
              <w:right w:val="nil"/>
            </w:tcBorders>
          </w:tcPr>
          <w:p w14:paraId="42489821" w14:textId="745E78B4" w:rsidR="008E2635" w:rsidRDefault="008E2635" w:rsidP="00BD0A0C">
            <w:pPr>
              <w:spacing w:after="120"/>
            </w:pPr>
            <w:r>
              <w:t xml:space="preserve">    </w:t>
            </w:r>
            <w:r>
              <w:rPr>
                <w:i/>
                <w:iCs/>
              </w:rPr>
              <w:t>Adult</w:t>
            </w:r>
          </w:p>
        </w:tc>
        <w:tc>
          <w:tcPr>
            <w:tcW w:w="2159" w:type="dxa"/>
            <w:tcBorders>
              <w:top w:val="nil"/>
              <w:left w:val="nil"/>
              <w:bottom w:val="nil"/>
              <w:right w:val="nil"/>
            </w:tcBorders>
          </w:tcPr>
          <w:p w14:paraId="76010300" w14:textId="70246782" w:rsidR="008E2635" w:rsidRDefault="00CF6588" w:rsidP="00BD0A0C">
            <w:pPr>
              <w:spacing w:after="120"/>
            </w:pPr>
            <w:r>
              <w:t>29%</w:t>
            </w:r>
          </w:p>
        </w:tc>
        <w:tc>
          <w:tcPr>
            <w:tcW w:w="2338" w:type="dxa"/>
            <w:tcBorders>
              <w:top w:val="nil"/>
              <w:left w:val="nil"/>
              <w:bottom w:val="nil"/>
              <w:right w:val="nil"/>
            </w:tcBorders>
          </w:tcPr>
          <w:p w14:paraId="1FDD0F1D" w14:textId="2C5550F2" w:rsidR="008E2635" w:rsidRDefault="008E6945" w:rsidP="00BD0A0C">
            <w:pPr>
              <w:spacing w:after="120"/>
            </w:pPr>
            <w:r>
              <w:t>23–34%</w:t>
            </w:r>
          </w:p>
        </w:tc>
        <w:tc>
          <w:tcPr>
            <w:tcW w:w="2338" w:type="dxa"/>
            <w:tcBorders>
              <w:top w:val="nil"/>
              <w:left w:val="nil"/>
              <w:bottom w:val="nil"/>
              <w:right w:val="nil"/>
            </w:tcBorders>
          </w:tcPr>
          <w:p w14:paraId="7E99859A" w14:textId="700E2106" w:rsidR="008E2635" w:rsidRDefault="00221A06" w:rsidP="00BD0A0C">
            <w:pPr>
              <w:spacing w:after="120"/>
            </w:pPr>
            <w:r>
              <w:t>15–45%</w:t>
            </w:r>
          </w:p>
        </w:tc>
      </w:tr>
      <w:tr w:rsidR="008E2635" w14:paraId="60A27CF0" w14:textId="77777777" w:rsidTr="00D47E9B">
        <w:tc>
          <w:tcPr>
            <w:tcW w:w="2515" w:type="dxa"/>
            <w:tcBorders>
              <w:top w:val="nil"/>
              <w:left w:val="nil"/>
              <w:bottom w:val="nil"/>
              <w:right w:val="nil"/>
            </w:tcBorders>
          </w:tcPr>
          <w:p w14:paraId="673B7A81" w14:textId="67497CB0" w:rsidR="008E2635" w:rsidRDefault="008E2635" w:rsidP="00BD0A0C">
            <w:pPr>
              <w:spacing w:after="120"/>
            </w:pPr>
            <w:r>
              <w:t xml:space="preserve">    </w:t>
            </w:r>
            <w:r>
              <w:rPr>
                <w:i/>
                <w:iCs/>
              </w:rPr>
              <w:t>Juvenile</w:t>
            </w:r>
          </w:p>
        </w:tc>
        <w:tc>
          <w:tcPr>
            <w:tcW w:w="2159" w:type="dxa"/>
            <w:tcBorders>
              <w:top w:val="nil"/>
              <w:left w:val="nil"/>
              <w:bottom w:val="nil"/>
              <w:right w:val="nil"/>
            </w:tcBorders>
          </w:tcPr>
          <w:p w14:paraId="6FD7A377" w14:textId="49E38674" w:rsidR="008E2635" w:rsidRDefault="003D2EAE" w:rsidP="00BD0A0C">
            <w:pPr>
              <w:spacing w:after="120"/>
            </w:pPr>
            <w:r>
              <w:t>31%</w:t>
            </w:r>
          </w:p>
        </w:tc>
        <w:tc>
          <w:tcPr>
            <w:tcW w:w="2338" w:type="dxa"/>
            <w:tcBorders>
              <w:top w:val="nil"/>
              <w:left w:val="nil"/>
              <w:bottom w:val="nil"/>
              <w:right w:val="nil"/>
            </w:tcBorders>
          </w:tcPr>
          <w:p w14:paraId="3EA70F0E" w14:textId="335F4968" w:rsidR="008E2635" w:rsidRDefault="00A174E4" w:rsidP="00BD0A0C">
            <w:pPr>
              <w:spacing w:after="120"/>
            </w:pPr>
            <w:r>
              <w:t>26–36%</w:t>
            </w:r>
          </w:p>
        </w:tc>
        <w:tc>
          <w:tcPr>
            <w:tcW w:w="2338" w:type="dxa"/>
            <w:tcBorders>
              <w:top w:val="nil"/>
              <w:left w:val="nil"/>
              <w:bottom w:val="nil"/>
              <w:right w:val="nil"/>
            </w:tcBorders>
          </w:tcPr>
          <w:p w14:paraId="29F96B9F" w14:textId="03765A40" w:rsidR="008E2635" w:rsidRDefault="00774031" w:rsidP="00BD0A0C">
            <w:pPr>
              <w:spacing w:after="120"/>
            </w:pPr>
            <w:r>
              <w:t>18–45%</w:t>
            </w:r>
          </w:p>
        </w:tc>
      </w:tr>
      <w:tr w:rsidR="008E2635" w14:paraId="2023D926" w14:textId="77777777" w:rsidTr="00D47E9B">
        <w:tc>
          <w:tcPr>
            <w:tcW w:w="2515" w:type="dxa"/>
            <w:tcBorders>
              <w:top w:val="nil"/>
              <w:left w:val="nil"/>
              <w:bottom w:val="nil"/>
              <w:right w:val="nil"/>
            </w:tcBorders>
          </w:tcPr>
          <w:p w14:paraId="5E82AE84" w14:textId="75EAF9DA" w:rsidR="008E2635" w:rsidRPr="00BC43FC" w:rsidRDefault="00F87BAB" w:rsidP="00BD0A0C">
            <w:pPr>
              <w:spacing w:after="120"/>
              <w:rPr>
                <w:b/>
                <w:bCs/>
              </w:rPr>
            </w:pPr>
            <w:r w:rsidRPr="00BC43FC">
              <w:rPr>
                <w:b/>
                <w:bCs/>
              </w:rPr>
              <w:t xml:space="preserve">% of observations </w:t>
            </w:r>
            <w:r w:rsidR="00357080" w:rsidRPr="00BC43FC">
              <w:rPr>
                <w:b/>
                <w:bCs/>
              </w:rPr>
              <w:t>below height of</w:t>
            </w:r>
            <w:r w:rsidR="008927C3" w:rsidRPr="00BC43FC">
              <w:rPr>
                <w:b/>
                <w:bCs/>
              </w:rPr>
              <w:t xml:space="preserve"> low-rise buildings</w:t>
            </w:r>
            <w:r w:rsidR="00524F7A" w:rsidRPr="00BC43FC">
              <w:rPr>
                <w:b/>
                <w:bCs/>
              </w:rPr>
              <w:t xml:space="preserve"> (</w:t>
            </w:r>
            <w:r w:rsidR="00BD0A0C" w:rsidRPr="00BC43FC">
              <w:rPr>
                <w:b/>
                <w:bCs/>
              </w:rPr>
              <w:t>47m</w:t>
            </w:r>
            <w:r w:rsidR="00524F7A" w:rsidRPr="00BC43FC">
              <w:rPr>
                <w:b/>
                <w:bCs/>
              </w:rPr>
              <w:t>)</w:t>
            </w:r>
          </w:p>
        </w:tc>
        <w:tc>
          <w:tcPr>
            <w:tcW w:w="2159" w:type="dxa"/>
            <w:tcBorders>
              <w:top w:val="nil"/>
              <w:left w:val="nil"/>
              <w:bottom w:val="nil"/>
              <w:right w:val="nil"/>
            </w:tcBorders>
          </w:tcPr>
          <w:p w14:paraId="566DD744" w14:textId="2EFDBFEF" w:rsidR="008E2635" w:rsidRPr="00BC43FC" w:rsidRDefault="00807F59" w:rsidP="00BD0A0C">
            <w:pPr>
              <w:spacing w:after="120"/>
              <w:rPr>
                <w:b/>
                <w:bCs/>
              </w:rPr>
            </w:pPr>
            <w:r w:rsidRPr="00BC43FC">
              <w:rPr>
                <w:b/>
                <w:bCs/>
              </w:rPr>
              <w:t>10%</w:t>
            </w:r>
          </w:p>
        </w:tc>
        <w:tc>
          <w:tcPr>
            <w:tcW w:w="2338" w:type="dxa"/>
            <w:tcBorders>
              <w:top w:val="nil"/>
              <w:left w:val="nil"/>
              <w:bottom w:val="nil"/>
              <w:right w:val="nil"/>
            </w:tcBorders>
          </w:tcPr>
          <w:p w14:paraId="4EE83953" w14:textId="02000A2D" w:rsidR="008E2635" w:rsidRPr="00BC43FC" w:rsidRDefault="00602B22" w:rsidP="00BD0A0C">
            <w:pPr>
              <w:spacing w:after="120"/>
              <w:rPr>
                <w:b/>
                <w:bCs/>
              </w:rPr>
            </w:pPr>
            <w:r w:rsidRPr="00BC43FC">
              <w:rPr>
                <w:b/>
                <w:bCs/>
              </w:rPr>
              <w:t>8–13%</w:t>
            </w:r>
          </w:p>
        </w:tc>
        <w:tc>
          <w:tcPr>
            <w:tcW w:w="2338" w:type="dxa"/>
            <w:tcBorders>
              <w:top w:val="nil"/>
              <w:left w:val="nil"/>
              <w:bottom w:val="nil"/>
              <w:right w:val="nil"/>
            </w:tcBorders>
          </w:tcPr>
          <w:p w14:paraId="3DEBF507" w14:textId="6152AF7F" w:rsidR="008E2635" w:rsidRPr="00BC43FC" w:rsidRDefault="007965BE" w:rsidP="00BD0A0C">
            <w:pPr>
              <w:spacing w:after="120"/>
              <w:rPr>
                <w:b/>
                <w:bCs/>
              </w:rPr>
            </w:pPr>
            <w:r w:rsidRPr="00BC43FC">
              <w:rPr>
                <w:b/>
                <w:bCs/>
              </w:rPr>
              <w:t>4–19%</w:t>
            </w:r>
          </w:p>
        </w:tc>
      </w:tr>
      <w:tr w:rsidR="007F108C" w14:paraId="3F5274AF" w14:textId="77777777" w:rsidTr="00D47E9B">
        <w:tc>
          <w:tcPr>
            <w:tcW w:w="2515" w:type="dxa"/>
            <w:tcBorders>
              <w:top w:val="nil"/>
              <w:left w:val="nil"/>
              <w:bottom w:val="nil"/>
              <w:right w:val="nil"/>
            </w:tcBorders>
          </w:tcPr>
          <w:p w14:paraId="155128C1" w14:textId="40CB0EB5" w:rsidR="007F108C" w:rsidRDefault="007F108C" w:rsidP="00BD0A0C">
            <w:pPr>
              <w:spacing w:after="120"/>
            </w:pPr>
            <w:r>
              <w:rPr>
                <w:i/>
                <w:iCs/>
              </w:rPr>
              <w:t xml:space="preserve">    Fall</w:t>
            </w:r>
          </w:p>
        </w:tc>
        <w:tc>
          <w:tcPr>
            <w:tcW w:w="2159" w:type="dxa"/>
            <w:tcBorders>
              <w:top w:val="nil"/>
              <w:left w:val="nil"/>
              <w:bottom w:val="nil"/>
              <w:right w:val="nil"/>
            </w:tcBorders>
          </w:tcPr>
          <w:p w14:paraId="659525CA" w14:textId="733F0F57" w:rsidR="007F108C" w:rsidRDefault="0059321C" w:rsidP="00BD0A0C">
            <w:pPr>
              <w:spacing w:after="120"/>
            </w:pPr>
            <w:r>
              <w:t>12%</w:t>
            </w:r>
          </w:p>
        </w:tc>
        <w:tc>
          <w:tcPr>
            <w:tcW w:w="2338" w:type="dxa"/>
            <w:tcBorders>
              <w:top w:val="nil"/>
              <w:left w:val="nil"/>
              <w:bottom w:val="nil"/>
              <w:right w:val="nil"/>
            </w:tcBorders>
          </w:tcPr>
          <w:p w14:paraId="25D7A0A2" w14:textId="5910013F" w:rsidR="007F108C" w:rsidRDefault="00856935" w:rsidP="00BD0A0C">
            <w:pPr>
              <w:spacing w:after="120"/>
            </w:pPr>
            <w:r>
              <w:t>8–16%</w:t>
            </w:r>
          </w:p>
        </w:tc>
        <w:tc>
          <w:tcPr>
            <w:tcW w:w="2338" w:type="dxa"/>
            <w:tcBorders>
              <w:top w:val="nil"/>
              <w:left w:val="nil"/>
              <w:bottom w:val="nil"/>
              <w:right w:val="nil"/>
            </w:tcBorders>
          </w:tcPr>
          <w:p w14:paraId="5C3A300E" w14:textId="06E993F2" w:rsidR="007F108C" w:rsidRDefault="00F541AA" w:rsidP="00BD0A0C">
            <w:pPr>
              <w:spacing w:after="120"/>
            </w:pPr>
            <w:r>
              <w:t>4–25%</w:t>
            </w:r>
          </w:p>
        </w:tc>
      </w:tr>
      <w:tr w:rsidR="007F108C" w14:paraId="5B2491C3" w14:textId="77777777" w:rsidTr="00D47E9B">
        <w:tc>
          <w:tcPr>
            <w:tcW w:w="2515" w:type="dxa"/>
            <w:tcBorders>
              <w:top w:val="nil"/>
              <w:left w:val="nil"/>
              <w:bottom w:val="nil"/>
              <w:right w:val="nil"/>
            </w:tcBorders>
          </w:tcPr>
          <w:p w14:paraId="25C09E60" w14:textId="49001E5B" w:rsidR="007F108C" w:rsidRDefault="007F108C" w:rsidP="00BD0A0C">
            <w:pPr>
              <w:spacing w:after="120"/>
            </w:pPr>
            <w:r>
              <w:t xml:space="preserve">    </w:t>
            </w:r>
            <w:r>
              <w:rPr>
                <w:i/>
                <w:iCs/>
              </w:rPr>
              <w:t>Spring</w:t>
            </w:r>
          </w:p>
        </w:tc>
        <w:tc>
          <w:tcPr>
            <w:tcW w:w="2159" w:type="dxa"/>
            <w:tcBorders>
              <w:top w:val="nil"/>
              <w:left w:val="nil"/>
              <w:bottom w:val="nil"/>
              <w:right w:val="nil"/>
            </w:tcBorders>
          </w:tcPr>
          <w:p w14:paraId="69889D04" w14:textId="437DCB54" w:rsidR="007F108C" w:rsidRDefault="002B5B1D" w:rsidP="00BD0A0C">
            <w:pPr>
              <w:spacing w:after="120"/>
            </w:pPr>
            <w:r>
              <w:t>8%</w:t>
            </w:r>
          </w:p>
        </w:tc>
        <w:tc>
          <w:tcPr>
            <w:tcW w:w="2338" w:type="dxa"/>
            <w:tcBorders>
              <w:top w:val="nil"/>
              <w:left w:val="nil"/>
              <w:bottom w:val="nil"/>
              <w:right w:val="nil"/>
            </w:tcBorders>
          </w:tcPr>
          <w:p w14:paraId="38FCA1FB" w14:textId="04130601" w:rsidR="007F108C" w:rsidRDefault="00224299" w:rsidP="00BD0A0C">
            <w:pPr>
              <w:spacing w:after="120"/>
            </w:pPr>
            <w:r>
              <w:t>5–10%</w:t>
            </w:r>
          </w:p>
        </w:tc>
        <w:tc>
          <w:tcPr>
            <w:tcW w:w="2338" w:type="dxa"/>
            <w:tcBorders>
              <w:top w:val="nil"/>
              <w:left w:val="nil"/>
              <w:bottom w:val="nil"/>
              <w:right w:val="nil"/>
            </w:tcBorders>
          </w:tcPr>
          <w:p w14:paraId="4EDEF9DE" w14:textId="59C20614" w:rsidR="007F108C" w:rsidRDefault="00CA57ED" w:rsidP="00BD0A0C">
            <w:pPr>
              <w:spacing w:after="120"/>
            </w:pPr>
            <w:r>
              <w:t>2–18%</w:t>
            </w:r>
          </w:p>
        </w:tc>
      </w:tr>
      <w:tr w:rsidR="007F108C" w14:paraId="4A105AB9" w14:textId="77777777" w:rsidTr="00D47E9B">
        <w:tc>
          <w:tcPr>
            <w:tcW w:w="2515" w:type="dxa"/>
            <w:tcBorders>
              <w:top w:val="nil"/>
              <w:left w:val="nil"/>
              <w:bottom w:val="nil"/>
              <w:right w:val="nil"/>
            </w:tcBorders>
          </w:tcPr>
          <w:p w14:paraId="6E09873D" w14:textId="2499526A" w:rsidR="007F108C" w:rsidRDefault="007F108C" w:rsidP="00BD0A0C">
            <w:pPr>
              <w:spacing w:after="120"/>
            </w:pPr>
            <w:r>
              <w:t xml:space="preserve">    </w:t>
            </w:r>
            <w:r>
              <w:rPr>
                <w:i/>
                <w:iCs/>
              </w:rPr>
              <w:t>Adult</w:t>
            </w:r>
          </w:p>
        </w:tc>
        <w:tc>
          <w:tcPr>
            <w:tcW w:w="2159" w:type="dxa"/>
            <w:tcBorders>
              <w:top w:val="nil"/>
              <w:left w:val="nil"/>
              <w:bottom w:val="nil"/>
              <w:right w:val="nil"/>
            </w:tcBorders>
          </w:tcPr>
          <w:p w14:paraId="7E9625FE" w14:textId="00AACCBA" w:rsidR="007F108C" w:rsidRDefault="006A746B" w:rsidP="00BD0A0C">
            <w:pPr>
              <w:spacing w:after="120"/>
            </w:pPr>
            <w:r>
              <w:t>9%</w:t>
            </w:r>
          </w:p>
        </w:tc>
        <w:tc>
          <w:tcPr>
            <w:tcW w:w="2338" w:type="dxa"/>
            <w:tcBorders>
              <w:top w:val="nil"/>
              <w:left w:val="nil"/>
              <w:bottom w:val="nil"/>
              <w:right w:val="nil"/>
            </w:tcBorders>
          </w:tcPr>
          <w:p w14:paraId="613C84C5" w14:textId="2F0149D7" w:rsidR="007F108C" w:rsidRDefault="0099738E" w:rsidP="00BD0A0C">
            <w:pPr>
              <w:spacing w:after="120"/>
            </w:pPr>
            <w:r>
              <w:t>5–12%</w:t>
            </w:r>
          </w:p>
        </w:tc>
        <w:tc>
          <w:tcPr>
            <w:tcW w:w="2338" w:type="dxa"/>
            <w:tcBorders>
              <w:top w:val="nil"/>
              <w:left w:val="nil"/>
              <w:bottom w:val="nil"/>
              <w:right w:val="nil"/>
            </w:tcBorders>
          </w:tcPr>
          <w:p w14:paraId="69BE7160" w14:textId="2BCE4FCA" w:rsidR="007F108C" w:rsidRDefault="00274EA4" w:rsidP="00BD0A0C">
            <w:pPr>
              <w:spacing w:after="120"/>
            </w:pPr>
            <w:r>
              <w:t>2–22%</w:t>
            </w:r>
          </w:p>
        </w:tc>
      </w:tr>
      <w:tr w:rsidR="007F108C" w14:paraId="0E4F24FD" w14:textId="77777777" w:rsidTr="008F7579">
        <w:tc>
          <w:tcPr>
            <w:tcW w:w="2515" w:type="dxa"/>
            <w:tcBorders>
              <w:top w:val="nil"/>
              <w:left w:val="nil"/>
              <w:bottom w:val="nil"/>
              <w:right w:val="nil"/>
            </w:tcBorders>
          </w:tcPr>
          <w:p w14:paraId="091BB0CD" w14:textId="28FB7FAE" w:rsidR="007F108C" w:rsidRDefault="007F108C" w:rsidP="00BD0A0C">
            <w:pPr>
              <w:spacing w:after="120"/>
            </w:pPr>
            <w:r>
              <w:t xml:space="preserve">    </w:t>
            </w:r>
            <w:r>
              <w:rPr>
                <w:i/>
                <w:iCs/>
              </w:rPr>
              <w:t>Juvenile</w:t>
            </w:r>
          </w:p>
        </w:tc>
        <w:tc>
          <w:tcPr>
            <w:tcW w:w="2159" w:type="dxa"/>
            <w:tcBorders>
              <w:top w:val="nil"/>
              <w:left w:val="nil"/>
              <w:bottom w:val="nil"/>
              <w:right w:val="nil"/>
            </w:tcBorders>
          </w:tcPr>
          <w:p w14:paraId="065A5236" w14:textId="516CDAC9" w:rsidR="007F108C" w:rsidRDefault="004D6D56" w:rsidP="00BD0A0C">
            <w:pPr>
              <w:spacing w:after="120"/>
            </w:pPr>
            <w:r>
              <w:t>9%</w:t>
            </w:r>
          </w:p>
        </w:tc>
        <w:tc>
          <w:tcPr>
            <w:tcW w:w="2338" w:type="dxa"/>
            <w:tcBorders>
              <w:top w:val="nil"/>
              <w:left w:val="nil"/>
              <w:bottom w:val="nil"/>
              <w:right w:val="nil"/>
            </w:tcBorders>
          </w:tcPr>
          <w:p w14:paraId="52109BC3" w14:textId="76F6433C" w:rsidR="007F108C" w:rsidRDefault="00C33F73" w:rsidP="00BD0A0C">
            <w:pPr>
              <w:spacing w:after="120"/>
            </w:pPr>
            <w:r>
              <w:t>5–12%</w:t>
            </w:r>
          </w:p>
        </w:tc>
        <w:tc>
          <w:tcPr>
            <w:tcW w:w="2338" w:type="dxa"/>
            <w:tcBorders>
              <w:top w:val="nil"/>
              <w:left w:val="nil"/>
              <w:bottom w:val="nil"/>
              <w:right w:val="nil"/>
            </w:tcBorders>
          </w:tcPr>
          <w:p w14:paraId="62345FE1" w14:textId="7ADCEC7A" w:rsidR="007F108C" w:rsidRDefault="00881152" w:rsidP="00BD0A0C">
            <w:pPr>
              <w:spacing w:after="120"/>
            </w:pPr>
            <w:r>
              <w:t>2–19%</w:t>
            </w:r>
          </w:p>
        </w:tc>
      </w:tr>
      <w:tr w:rsidR="007F108C" w14:paraId="2070F2C2" w14:textId="77777777" w:rsidTr="008F7579">
        <w:tc>
          <w:tcPr>
            <w:tcW w:w="2515" w:type="dxa"/>
            <w:tcBorders>
              <w:top w:val="nil"/>
              <w:left w:val="nil"/>
              <w:bottom w:val="nil"/>
              <w:right w:val="nil"/>
            </w:tcBorders>
          </w:tcPr>
          <w:p w14:paraId="3F8AEE59" w14:textId="3364DC23" w:rsidR="007F108C" w:rsidRPr="00BC43FC" w:rsidRDefault="007F108C" w:rsidP="00BD0A0C">
            <w:pPr>
              <w:spacing w:after="120"/>
              <w:rPr>
                <w:b/>
                <w:bCs/>
              </w:rPr>
            </w:pPr>
            <w:r w:rsidRPr="00BC43FC">
              <w:rPr>
                <w:b/>
                <w:bCs/>
              </w:rPr>
              <w:t xml:space="preserve">% of observations within sweep of </w:t>
            </w:r>
            <w:r w:rsidR="005742F0">
              <w:rPr>
                <w:b/>
                <w:bCs/>
              </w:rPr>
              <w:t>land-based</w:t>
            </w:r>
            <w:r w:rsidRPr="00BC43FC">
              <w:rPr>
                <w:b/>
                <w:bCs/>
              </w:rPr>
              <w:t xml:space="preserve"> wind turbines (</w:t>
            </w:r>
            <w:r w:rsidR="00DB683F" w:rsidRPr="00BC43FC">
              <w:rPr>
                <w:b/>
                <w:bCs/>
              </w:rPr>
              <w:t>32</w:t>
            </w:r>
            <w:r w:rsidRPr="00BC43FC">
              <w:rPr>
                <w:b/>
                <w:bCs/>
              </w:rPr>
              <w:t>–</w:t>
            </w:r>
            <w:r w:rsidR="00DB683F" w:rsidRPr="00BC43FC">
              <w:rPr>
                <w:b/>
                <w:bCs/>
              </w:rPr>
              <w:t>164</w:t>
            </w:r>
            <w:r w:rsidRPr="00BC43FC">
              <w:rPr>
                <w:b/>
                <w:bCs/>
              </w:rPr>
              <w:t>m)</w:t>
            </w:r>
          </w:p>
        </w:tc>
        <w:tc>
          <w:tcPr>
            <w:tcW w:w="2159" w:type="dxa"/>
            <w:tcBorders>
              <w:top w:val="nil"/>
              <w:left w:val="nil"/>
              <w:bottom w:val="nil"/>
              <w:right w:val="nil"/>
            </w:tcBorders>
          </w:tcPr>
          <w:p w14:paraId="4FE6A353" w14:textId="250E1304" w:rsidR="007F108C" w:rsidRPr="00BC43FC" w:rsidRDefault="00D63CF3" w:rsidP="00BD0A0C">
            <w:pPr>
              <w:spacing w:after="120"/>
              <w:rPr>
                <w:b/>
                <w:bCs/>
              </w:rPr>
            </w:pPr>
            <w:r w:rsidRPr="00BC43FC">
              <w:rPr>
                <w:b/>
                <w:bCs/>
              </w:rPr>
              <w:t>27%</w:t>
            </w:r>
          </w:p>
        </w:tc>
        <w:tc>
          <w:tcPr>
            <w:tcW w:w="2338" w:type="dxa"/>
            <w:tcBorders>
              <w:top w:val="nil"/>
              <w:left w:val="nil"/>
              <w:bottom w:val="nil"/>
              <w:right w:val="nil"/>
            </w:tcBorders>
          </w:tcPr>
          <w:p w14:paraId="5E147C92" w14:textId="3D0AFFDC" w:rsidR="007F108C" w:rsidRPr="00BC43FC" w:rsidRDefault="003A107D" w:rsidP="00BD0A0C">
            <w:pPr>
              <w:spacing w:after="120"/>
              <w:rPr>
                <w:b/>
                <w:bCs/>
              </w:rPr>
            </w:pPr>
            <w:r w:rsidRPr="00BC43FC">
              <w:rPr>
                <w:b/>
                <w:bCs/>
              </w:rPr>
              <w:t>25–29%</w:t>
            </w:r>
          </w:p>
        </w:tc>
        <w:tc>
          <w:tcPr>
            <w:tcW w:w="2338" w:type="dxa"/>
            <w:tcBorders>
              <w:top w:val="nil"/>
              <w:left w:val="nil"/>
              <w:bottom w:val="nil"/>
              <w:right w:val="nil"/>
            </w:tcBorders>
          </w:tcPr>
          <w:p w14:paraId="52FBC993" w14:textId="2A79D00C" w:rsidR="007F108C" w:rsidRPr="00BC43FC" w:rsidRDefault="00AA74BD" w:rsidP="00BD0A0C">
            <w:pPr>
              <w:spacing w:after="120"/>
              <w:rPr>
                <w:b/>
                <w:bCs/>
              </w:rPr>
            </w:pPr>
            <w:r w:rsidRPr="00BC43FC">
              <w:rPr>
                <w:b/>
                <w:bCs/>
              </w:rPr>
              <w:t>21–32%</w:t>
            </w:r>
          </w:p>
        </w:tc>
      </w:tr>
      <w:tr w:rsidR="00BD0A0C" w14:paraId="60C9A53C" w14:textId="77777777" w:rsidTr="008F7579">
        <w:tc>
          <w:tcPr>
            <w:tcW w:w="2515" w:type="dxa"/>
            <w:tcBorders>
              <w:top w:val="nil"/>
              <w:left w:val="nil"/>
              <w:bottom w:val="nil"/>
              <w:right w:val="nil"/>
            </w:tcBorders>
          </w:tcPr>
          <w:p w14:paraId="28387363" w14:textId="0D063630" w:rsidR="00BD0A0C" w:rsidRDefault="00BD0A0C" w:rsidP="00BD0A0C">
            <w:pPr>
              <w:spacing w:after="120"/>
            </w:pPr>
            <w:r>
              <w:rPr>
                <w:i/>
                <w:iCs/>
              </w:rPr>
              <w:t xml:space="preserve">    Fall</w:t>
            </w:r>
          </w:p>
        </w:tc>
        <w:tc>
          <w:tcPr>
            <w:tcW w:w="2159" w:type="dxa"/>
            <w:tcBorders>
              <w:top w:val="nil"/>
              <w:left w:val="nil"/>
              <w:bottom w:val="nil"/>
              <w:right w:val="nil"/>
            </w:tcBorders>
          </w:tcPr>
          <w:p w14:paraId="18AF5C0F" w14:textId="64ECC8DA" w:rsidR="00BD0A0C" w:rsidRDefault="008A3E1D" w:rsidP="00BD0A0C">
            <w:pPr>
              <w:spacing w:after="120"/>
            </w:pPr>
            <w:r>
              <w:t>30%</w:t>
            </w:r>
          </w:p>
        </w:tc>
        <w:tc>
          <w:tcPr>
            <w:tcW w:w="2338" w:type="dxa"/>
            <w:tcBorders>
              <w:top w:val="nil"/>
              <w:left w:val="nil"/>
              <w:bottom w:val="nil"/>
              <w:right w:val="nil"/>
            </w:tcBorders>
          </w:tcPr>
          <w:p w14:paraId="1A6B5CAE" w14:textId="533E84E9" w:rsidR="00BD0A0C" w:rsidRDefault="00DB4E94" w:rsidP="00BD0A0C">
            <w:pPr>
              <w:spacing w:after="120"/>
            </w:pPr>
            <w:r>
              <w:t>28–33%</w:t>
            </w:r>
          </w:p>
        </w:tc>
        <w:tc>
          <w:tcPr>
            <w:tcW w:w="2338" w:type="dxa"/>
            <w:tcBorders>
              <w:top w:val="nil"/>
              <w:left w:val="nil"/>
              <w:bottom w:val="nil"/>
              <w:right w:val="nil"/>
            </w:tcBorders>
          </w:tcPr>
          <w:p w14:paraId="23CF3FA7" w14:textId="6F7C5CA1" w:rsidR="00BD0A0C" w:rsidRDefault="00520561" w:rsidP="00BD0A0C">
            <w:pPr>
              <w:spacing w:after="120"/>
            </w:pPr>
            <w:r>
              <w:t>22–36%</w:t>
            </w:r>
          </w:p>
        </w:tc>
      </w:tr>
      <w:tr w:rsidR="00BD0A0C" w14:paraId="5A5E2D60" w14:textId="77777777" w:rsidTr="008F7579">
        <w:tc>
          <w:tcPr>
            <w:tcW w:w="2515" w:type="dxa"/>
            <w:tcBorders>
              <w:top w:val="nil"/>
              <w:left w:val="nil"/>
              <w:bottom w:val="nil"/>
              <w:right w:val="nil"/>
            </w:tcBorders>
          </w:tcPr>
          <w:p w14:paraId="42CEC900" w14:textId="425991E6" w:rsidR="00BD0A0C" w:rsidRDefault="00BD0A0C" w:rsidP="00BD0A0C">
            <w:pPr>
              <w:spacing w:after="120"/>
            </w:pPr>
            <w:r>
              <w:t xml:space="preserve">    </w:t>
            </w:r>
            <w:r>
              <w:rPr>
                <w:i/>
                <w:iCs/>
              </w:rPr>
              <w:t>Spring</w:t>
            </w:r>
          </w:p>
        </w:tc>
        <w:tc>
          <w:tcPr>
            <w:tcW w:w="2159" w:type="dxa"/>
            <w:tcBorders>
              <w:top w:val="nil"/>
              <w:left w:val="nil"/>
              <w:bottom w:val="nil"/>
              <w:right w:val="nil"/>
            </w:tcBorders>
          </w:tcPr>
          <w:p w14:paraId="1201D8C6" w14:textId="0D53BFA4" w:rsidR="00BD0A0C" w:rsidRDefault="00364EF6" w:rsidP="00BD0A0C">
            <w:pPr>
              <w:spacing w:after="120"/>
            </w:pPr>
            <w:r>
              <w:t>23%</w:t>
            </w:r>
          </w:p>
        </w:tc>
        <w:tc>
          <w:tcPr>
            <w:tcW w:w="2338" w:type="dxa"/>
            <w:tcBorders>
              <w:top w:val="nil"/>
              <w:left w:val="nil"/>
              <w:bottom w:val="nil"/>
              <w:right w:val="nil"/>
            </w:tcBorders>
          </w:tcPr>
          <w:p w14:paraId="6BE5DA40" w14:textId="7C12FF04" w:rsidR="00BD0A0C" w:rsidRDefault="00306007" w:rsidP="00BD0A0C">
            <w:pPr>
              <w:spacing w:after="120"/>
            </w:pPr>
            <w:r>
              <w:t>22–36%</w:t>
            </w:r>
          </w:p>
        </w:tc>
        <w:tc>
          <w:tcPr>
            <w:tcW w:w="2338" w:type="dxa"/>
            <w:tcBorders>
              <w:top w:val="nil"/>
              <w:left w:val="nil"/>
              <w:bottom w:val="nil"/>
              <w:right w:val="nil"/>
            </w:tcBorders>
          </w:tcPr>
          <w:p w14:paraId="6BF2BD89" w14:textId="679C75E3" w:rsidR="00BD0A0C" w:rsidRDefault="007B5626" w:rsidP="00BD0A0C">
            <w:pPr>
              <w:spacing w:after="120"/>
            </w:pPr>
            <w:r>
              <w:t>14–30%</w:t>
            </w:r>
          </w:p>
        </w:tc>
      </w:tr>
      <w:tr w:rsidR="00BD0A0C" w14:paraId="48EF954C" w14:textId="77777777" w:rsidTr="008F7579">
        <w:tc>
          <w:tcPr>
            <w:tcW w:w="2515" w:type="dxa"/>
            <w:tcBorders>
              <w:top w:val="nil"/>
              <w:left w:val="nil"/>
              <w:bottom w:val="nil"/>
              <w:right w:val="nil"/>
            </w:tcBorders>
          </w:tcPr>
          <w:p w14:paraId="213D54FD" w14:textId="013F02D2"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8F22B47" w14:textId="3D735839" w:rsidR="00BD0A0C" w:rsidRDefault="004A0997" w:rsidP="00BD0A0C">
            <w:pPr>
              <w:spacing w:after="120"/>
            </w:pPr>
            <w:r>
              <w:t>24%</w:t>
            </w:r>
          </w:p>
        </w:tc>
        <w:tc>
          <w:tcPr>
            <w:tcW w:w="2338" w:type="dxa"/>
            <w:tcBorders>
              <w:top w:val="nil"/>
              <w:left w:val="nil"/>
              <w:bottom w:val="nil"/>
              <w:right w:val="nil"/>
            </w:tcBorders>
          </w:tcPr>
          <w:p w14:paraId="0D731392" w14:textId="3493FC27" w:rsidR="00BD0A0C" w:rsidRDefault="00265C19" w:rsidP="00BD0A0C">
            <w:pPr>
              <w:spacing w:after="120"/>
            </w:pPr>
            <w:r>
              <w:t>21–27%</w:t>
            </w:r>
          </w:p>
        </w:tc>
        <w:tc>
          <w:tcPr>
            <w:tcW w:w="2338" w:type="dxa"/>
            <w:tcBorders>
              <w:top w:val="nil"/>
              <w:left w:val="nil"/>
              <w:bottom w:val="nil"/>
              <w:right w:val="nil"/>
            </w:tcBorders>
          </w:tcPr>
          <w:p w14:paraId="12C2742D" w14:textId="2B68CFC5" w:rsidR="00BD0A0C" w:rsidRDefault="00B24AB1" w:rsidP="00BD0A0C">
            <w:pPr>
              <w:spacing w:after="120"/>
            </w:pPr>
            <w:r>
              <w:t>15–31%</w:t>
            </w:r>
          </w:p>
        </w:tc>
      </w:tr>
      <w:tr w:rsidR="00BD0A0C" w14:paraId="6C45DECC" w14:textId="77777777" w:rsidTr="008F7579">
        <w:tc>
          <w:tcPr>
            <w:tcW w:w="2515" w:type="dxa"/>
            <w:tcBorders>
              <w:top w:val="nil"/>
              <w:left w:val="nil"/>
              <w:bottom w:val="nil"/>
              <w:right w:val="nil"/>
            </w:tcBorders>
          </w:tcPr>
          <w:p w14:paraId="7B2C8425" w14:textId="695BD2BB" w:rsidR="00BD0A0C" w:rsidRDefault="00BD0A0C" w:rsidP="00BD0A0C">
            <w:pPr>
              <w:spacing w:after="120"/>
            </w:pPr>
            <w:r>
              <w:t xml:space="preserve">    </w:t>
            </w:r>
            <w:r>
              <w:rPr>
                <w:i/>
                <w:iCs/>
              </w:rPr>
              <w:t>Juvenile</w:t>
            </w:r>
          </w:p>
        </w:tc>
        <w:tc>
          <w:tcPr>
            <w:tcW w:w="2159" w:type="dxa"/>
            <w:tcBorders>
              <w:top w:val="nil"/>
              <w:left w:val="nil"/>
              <w:bottom w:val="nil"/>
              <w:right w:val="nil"/>
            </w:tcBorders>
          </w:tcPr>
          <w:p w14:paraId="75D66CD5" w14:textId="3C1D4A0B" w:rsidR="00BD0A0C" w:rsidRDefault="00770F41" w:rsidP="00BD0A0C">
            <w:pPr>
              <w:spacing w:after="120"/>
            </w:pPr>
            <w:r>
              <w:t>27%</w:t>
            </w:r>
          </w:p>
        </w:tc>
        <w:tc>
          <w:tcPr>
            <w:tcW w:w="2338" w:type="dxa"/>
            <w:tcBorders>
              <w:top w:val="nil"/>
              <w:left w:val="nil"/>
              <w:bottom w:val="nil"/>
              <w:right w:val="nil"/>
            </w:tcBorders>
          </w:tcPr>
          <w:p w14:paraId="3E1A2F13" w14:textId="1A993804" w:rsidR="00BD0A0C" w:rsidRDefault="00852E29" w:rsidP="00BD0A0C">
            <w:pPr>
              <w:spacing w:after="120"/>
            </w:pPr>
            <w:r>
              <w:t>25–30%</w:t>
            </w:r>
          </w:p>
        </w:tc>
        <w:tc>
          <w:tcPr>
            <w:tcW w:w="2338" w:type="dxa"/>
            <w:tcBorders>
              <w:top w:val="nil"/>
              <w:left w:val="nil"/>
              <w:bottom w:val="nil"/>
              <w:right w:val="nil"/>
            </w:tcBorders>
          </w:tcPr>
          <w:p w14:paraId="0D8CC3F2" w14:textId="3C5D2D47" w:rsidR="00BD0A0C" w:rsidRDefault="00A02B41" w:rsidP="00BD0A0C">
            <w:pPr>
              <w:spacing w:after="120"/>
            </w:pPr>
            <w:r>
              <w:t>18–34%</w:t>
            </w:r>
          </w:p>
        </w:tc>
      </w:tr>
      <w:tr w:rsidR="00BD0A0C" w14:paraId="52697E6F" w14:textId="77777777" w:rsidTr="008F7579">
        <w:tc>
          <w:tcPr>
            <w:tcW w:w="2515" w:type="dxa"/>
            <w:tcBorders>
              <w:top w:val="nil"/>
              <w:left w:val="nil"/>
              <w:bottom w:val="nil"/>
              <w:right w:val="nil"/>
            </w:tcBorders>
          </w:tcPr>
          <w:p w14:paraId="7C4D044B" w14:textId="13A7C124" w:rsidR="00BD0A0C" w:rsidRPr="00BC43FC" w:rsidRDefault="00BD0A0C" w:rsidP="00BD0A0C">
            <w:pPr>
              <w:spacing w:after="120"/>
              <w:rPr>
                <w:b/>
                <w:bCs/>
              </w:rPr>
            </w:pPr>
            <w:r w:rsidRPr="00BC43FC">
              <w:rPr>
                <w:b/>
                <w:bCs/>
              </w:rPr>
              <w:t xml:space="preserve">% of observations below height of large </w:t>
            </w:r>
            <w:r w:rsidRPr="00BC43FC">
              <w:rPr>
                <w:b/>
                <w:bCs/>
              </w:rPr>
              <w:lastRenderedPageBreak/>
              <w:t>communication towers (244m)</w:t>
            </w:r>
          </w:p>
        </w:tc>
        <w:tc>
          <w:tcPr>
            <w:tcW w:w="2159" w:type="dxa"/>
            <w:tcBorders>
              <w:top w:val="nil"/>
              <w:left w:val="nil"/>
              <w:bottom w:val="nil"/>
              <w:right w:val="nil"/>
            </w:tcBorders>
          </w:tcPr>
          <w:p w14:paraId="31AAA935" w14:textId="1B934F51" w:rsidR="00BD0A0C" w:rsidRPr="00BC43FC" w:rsidRDefault="00F73298" w:rsidP="00BD0A0C">
            <w:pPr>
              <w:spacing w:after="120"/>
              <w:rPr>
                <w:b/>
                <w:bCs/>
              </w:rPr>
            </w:pPr>
            <w:r w:rsidRPr="00BC43FC">
              <w:rPr>
                <w:b/>
                <w:bCs/>
              </w:rPr>
              <w:lastRenderedPageBreak/>
              <w:t>47%</w:t>
            </w:r>
          </w:p>
        </w:tc>
        <w:tc>
          <w:tcPr>
            <w:tcW w:w="2338" w:type="dxa"/>
            <w:tcBorders>
              <w:top w:val="nil"/>
              <w:left w:val="nil"/>
              <w:bottom w:val="nil"/>
              <w:right w:val="nil"/>
            </w:tcBorders>
          </w:tcPr>
          <w:p w14:paraId="7B2A28BF" w14:textId="7B35B3C7" w:rsidR="00BD0A0C" w:rsidRPr="00BC43FC" w:rsidRDefault="00E93053" w:rsidP="00BD0A0C">
            <w:pPr>
              <w:spacing w:after="120"/>
              <w:rPr>
                <w:b/>
                <w:bCs/>
              </w:rPr>
            </w:pPr>
            <w:r w:rsidRPr="00BC43FC">
              <w:rPr>
                <w:b/>
                <w:bCs/>
              </w:rPr>
              <w:t>44–51%</w:t>
            </w:r>
          </w:p>
        </w:tc>
        <w:tc>
          <w:tcPr>
            <w:tcW w:w="2338" w:type="dxa"/>
            <w:tcBorders>
              <w:top w:val="nil"/>
              <w:left w:val="nil"/>
              <w:bottom w:val="nil"/>
              <w:right w:val="nil"/>
            </w:tcBorders>
          </w:tcPr>
          <w:p w14:paraId="1B6A2711" w14:textId="47EC006D" w:rsidR="00BD0A0C" w:rsidRPr="00BC43FC" w:rsidRDefault="009522C4" w:rsidP="00BD0A0C">
            <w:pPr>
              <w:spacing w:after="120"/>
              <w:rPr>
                <w:b/>
                <w:bCs/>
              </w:rPr>
            </w:pPr>
            <w:r w:rsidRPr="00BC43FC">
              <w:rPr>
                <w:b/>
                <w:bCs/>
              </w:rPr>
              <w:t>37–57%</w:t>
            </w:r>
          </w:p>
        </w:tc>
      </w:tr>
      <w:tr w:rsidR="00BD0A0C" w14:paraId="591EB260" w14:textId="77777777" w:rsidTr="008F7579">
        <w:tc>
          <w:tcPr>
            <w:tcW w:w="2515" w:type="dxa"/>
            <w:tcBorders>
              <w:top w:val="nil"/>
              <w:left w:val="nil"/>
              <w:bottom w:val="nil"/>
              <w:right w:val="nil"/>
            </w:tcBorders>
          </w:tcPr>
          <w:p w14:paraId="4A34A1CE" w14:textId="7B0BD7C2" w:rsidR="00BD0A0C" w:rsidRDefault="00BD0A0C" w:rsidP="00BD0A0C">
            <w:pPr>
              <w:spacing w:after="120"/>
            </w:pPr>
            <w:r>
              <w:rPr>
                <w:i/>
                <w:iCs/>
              </w:rPr>
              <w:t xml:space="preserve">    Fall</w:t>
            </w:r>
          </w:p>
        </w:tc>
        <w:tc>
          <w:tcPr>
            <w:tcW w:w="2159" w:type="dxa"/>
            <w:tcBorders>
              <w:top w:val="nil"/>
              <w:left w:val="nil"/>
              <w:bottom w:val="nil"/>
              <w:right w:val="nil"/>
            </w:tcBorders>
          </w:tcPr>
          <w:p w14:paraId="60302ABC" w14:textId="4BD7AEFB" w:rsidR="00BD0A0C" w:rsidRDefault="00F54960" w:rsidP="00BD0A0C">
            <w:pPr>
              <w:spacing w:after="120"/>
            </w:pPr>
            <w:r>
              <w:t>53%</w:t>
            </w:r>
          </w:p>
        </w:tc>
        <w:tc>
          <w:tcPr>
            <w:tcW w:w="2338" w:type="dxa"/>
            <w:tcBorders>
              <w:top w:val="nil"/>
              <w:left w:val="nil"/>
              <w:bottom w:val="nil"/>
              <w:right w:val="nil"/>
            </w:tcBorders>
          </w:tcPr>
          <w:p w14:paraId="32E45267" w14:textId="4B49E58E" w:rsidR="00BD0A0C" w:rsidRDefault="00192B65" w:rsidP="00BD0A0C">
            <w:pPr>
              <w:spacing w:after="120"/>
            </w:pPr>
            <w:r>
              <w:t>49–58%</w:t>
            </w:r>
          </w:p>
        </w:tc>
        <w:tc>
          <w:tcPr>
            <w:tcW w:w="2338" w:type="dxa"/>
            <w:tcBorders>
              <w:top w:val="nil"/>
              <w:left w:val="nil"/>
              <w:bottom w:val="nil"/>
              <w:right w:val="nil"/>
            </w:tcBorders>
          </w:tcPr>
          <w:p w14:paraId="7C3A06AA" w14:textId="358D7DE3" w:rsidR="00BD0A0C" w:rsidRDefault="00710937" w:rsidP="00BD0A0C">
            <w:pPr>
              <w:spacing w:after="120"/>
            </w:pPr>
            <w:r>
              <w:t>39–65%</w:t>
            </w:r>
          </w:p>
        </w:tc>
      </w:tr>
      <w:tr w:rsidR="00BD0A0C" w14:paraId="405BBAF6" w14:textId="77777777" w:rsidTr="008F7579">
        <w:tc>
          <w:tcPr>
            <w:tcW w:w="2515" w:type="dxa"/>
            <w:tcBorders>
              <w:top w:val="nil"/>
              <w:left w:val="nil"/>
              <w:bottom w:val="nil"/>
              <w:right w:val="nil"/>
            </w:tcBorders>
          </w:tcPr>
          <w:p w14:paraId="204345F8" w14:textId="10612FEE" w:rsidR="00BD0A0C" w:rsidRDefault="00BD0A0C" w:rsidP="00BD0A0C">
            <w:pPr>
              <w:spacing w:after="120"/>
            </w:pPr>
            <w:r>
              <w:t xml:space="preserve">    </w:t>
            </w:r>
            <w:r>
              <w:rPr>
                <w:i/>
                <w:iCs/>
              </w:rPr>
              <w:t>Spring</w:t>
            </w:r>
          </w:p>
        </w:tc>
        <w:tc>
          <w:tcPr>
            <w:tcW w:w="2159" w:type="dxa"/>
            <w:tcBorders>
              <w:top w:val="nil"/>
              <w:left w:val="nil"/>
              <w:bottom w:val="nil"/>
              <w:right w:val="nil"/>
            </w:tcBorders>
          </w:tcPr>
          <w:p w14:paraId="4FDFF6E3" w14:textId="6AAE968D" w:rsidR="00BD0A0C" w:rsidRDefault="00FC6C19" w:rsidP="00BD0A0C">
            <w:pPr>
              <w:spacing w:after="120"/>
            </w:pPr>
            <w:r>
              <w:t>40%</w:t>
            </w:r>
          </w:p>
        </w:tc>
        <w:tc>
          <w:tcPr>
            <w:tcW w:w="2338" w:type="dxa"/>
            <w:tcBorders>
              <w:top w:val="nil"/>
              <w:left w:val="nil"/>
              <w:bottom w:val="nil"/>
              <w:right w:val="nil"/>
            </w:tcBorders>
          </w:tcPr>
          <w:p w14:paraId="5E0F3A5B" w14:textId="1D7F68F1" w:rsidR="00BD0A0C" w:rsidRDefault="005371FB" w:rsidP="00BD0A0C">
            <w:pPr>
              <w:spacing w:after="120"/>
            </w:pPr>
            <w:r>
              <w:t>35–45%</w:t>
            </w:r>
          </w:p>
        </w:tc>
        <w:tc>
          <w:tcPr>
            <w:tcW w:w="2338" w:type="dxa"/>
            <w:tcBorders>
              <w:top w:val="nil"/>
              <w:left w:val="nil"/>
              <w:bottom w:val="nil"/>
              <w:right w:val="nil"/>
            </w:tcBorders>
          </w:tcPr>
          <w:p w14:paraId="093E9160" w14:textId="22734D34" w:rsidR="00BD0A0C" w:rsidRDefault="008C2B94" w:rsidP="00BD0A0C">
            <w:pPr>
              <w:spacing w:after="120"/>
            </w:pPr>
            <w:r>
              <w:t>26–54%</w:t>
            </w:r>
          </w:p>
        </w:tc>
      </w:tr>
      <w:tr w:rsidR="00BD0A0C" w14:paraId="13C63E96" w14:textId="77777777" w:rsidTr="008F7579">
        <w:tc>
          <w:tcPr>
            <w:tcW w:w="2515" w:type="dxa"/>
            <w:tcBorders>
              <w:top w:val="nil"/>
              <w:left w:val="nil"/>
              <w:bottom w:val="nil"/>
              <w:right w:val="nil"/>
            </w:tcBorders>
          </w:tcPr>
          <w:p w14:paraId="049E6AD0" w14:textId="7B787A13"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C746622" w14:textId="3F9FBC3C" w:rsidR="00BD0A0C" w:rsidRDefault="0067153E" w:rsidP="00BD0A0C">
            <w:pPr>
              <w:spacing w:after="120"/>
            </w:pPr>
            <w:r>
              <w:t>43%</w:t>
            </w:r>
          </w:p>
        </w:tc>
        <w:tc>
          <w:tcPr>
            <w:tcW w:w="2338" w:type="dxa"/>
            <w:tcBorders>
              <w:top w:val="nil"/>
              <w:left w:val="nil"/>
              <w:bottom w:val="nil"/>
              <w:right w:val="nil"/>
            </w:tcBorders>
          </w:tcPr>
          <w:p w14:paraId="287F0583" w14:textId="1CE40C92" w:rsidR="00BD0A0C" w:rsidRDefault="008E1C8F" w:rsidP="00BD0A0C">
            <w:pPr>
              <w:spacing w:after="120"/>
            </w:pPr>
            <w:r>
              <w:t>38–48%</w:t>
            </w:r>
          </w:p>
        </w:tc>
        <w:tc>
          <w:tcPr>
            <w:tcW w:w="2338" w:type="dxa"/>
            <w:tcBorders>
              <w:top w:val="nil"/>
              <w:left w:val="nil"/>
              <w:bottom w:val="nil"/>
              <w:right w:val="nil"/>
            </w:tcBorders>
          </w:tcPr>
          <w:p w14:paraId="2C03404B" w14:textId="148AD5D7" w:rsidR="00BD0A0C" w:rsidRDefault="00C71F5F" w:rsidP="00BD0A0C">
            <w:pPr>
              <w:spacing w:after="120"/>
            </w:pPr>
            <w:r>
              <w:t>28–58%</w:t>
            </w:r>
          </w:p>
        </w:tc>
      </w:tr>
      <w:tr w:rsidR="00BD0A0C" w14:paraId="55D1103A" w14:textId="77777777" w:rsidTr="008F7579">
        <w:tc>
          <w:tcPr>
            <w:tcW w:w="2515" w:type="dxa"/>
            <w:tcBorders>
              <w:top w:val="nil"/>
              <w:left w:val="nil"/>
              <w:right w:val="nil"/>
            </w:tcBorders>
          </w:tcPr>
          <w:p w14:paraId="414A5A23" w14:textId="57F02915" w:rsidR="00BD0A0C" w:rsidRDefault="00BD0A0C" w:rsidP="00BD0A0C">
            <w:pPr>
              <w:spacing w:after="120"/>
            </w:pPr>
            <w:r>
              <w:t xml:space="preserve">    </w:t>
            </w:r>
            <w:r>
              <w:rPr>
                <w:i/>
                <w:iCs/>
              </w:rPr>
              <w:t>Juvenile</w:t>
            </w:r>
          </w:p>
        </w:tc>
        <w:tc>
          <w:tcPr>
            <w:tcW w:w="2159" w:type="dxa"/>
            <w:tcBorders>
              <w:top w:val="nil"/>
              <w:left w:val="nil"/>
              <w:right w:val="nil"/>
            </w:tcBorders>
          </w:tcPr>
          <w:p w14:paraId="5C70C48F" w14:textId="0932C03D" w:rsidR="00BD0A0C" w:rsidRDefault="00234EA1" w:rsidP="00BD0A0C">
            <w:pPr>
              <w:spacing w:after="120"/>
            </w:pPr>
            <w:r>
              <w:t>47%</w:t>
            </w:r>
          </w:p>
        </w:tc>
        <w:tc>
          <w:tcPr>
            <w:tcW w:w="2338" w:type="dxa"/>
            <w:tcBorders>
              <w:top w:val="nil"/>
              <w:left w:val="nil"/>
              <w:right w:val="nil"/>
            </w:tcBorders>
          </w:tcPr>
          <w:p w14:paraId="6D31859A" w14:textId="4C6BF6DE" w:rsidR="00BD0A0C" w:rsidRDefault="008514B2" w:rsidP="00BD0A0C">
            <w:pPr>
              <w:spacing w:after="120"/>
            </w:pPr>
            <w:r>
              <w:t>43–52%</w:t>
            </w:r>
          </w:p>
        </w:tc>
        <w:tc>
          <w:tcPr>
            <w:tcW w:w="2338" w:type="dxa"/>
            <w:tcBorders>
              <w:top w:val="nil"/>
              <w:left w:val="nil"/>
              <w:right w:val="nil"/>
            </w:tcBorders>
          </w:tcPr>
          <w:p w14:paraId="1FDF551E" w14:textId="0DE7BD3A" w:rsidR="00BD0A0C" w:rsidRDefault="00E22318" w:rsidP="00BD0A0C">
            <w:pPr>
              <w:spacing w:after="120"/>
            </w:pPr>
            <w:r>
              <w:t>34–60%</w:t>
            </w:r>
          </w:p>
        </w:tc>
      </w:tr>
    </w:tbl>
    <w:p w14:paraId="30519AF2" w14:textId="5C1C14B9" w:rsidR="005B49D7" w:rsidRDefault="00A02B41" w:rsidP="00D14C5C">
      <w:pPr>
        <w:spacing w:line="480" w:lineRule="auto"/>
      </w:pPr>
      <w:r>
        <w:t xml:space="preserve">Table 1. Caption </w:t>
      </w:r>
      <w:proofErr w:type="spellStart"/>
      <w:r>
        <w:t>tk</w:t>
      </w:r>
      <w:proofErr w:type="spellEnd"/>
    </w:p>
    <w:p w14:paraId="6200B82D" w14:textId="3D603C49"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5BBE543B">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6C42467F" w14:textId="7EE957D9" w:rsidR="00540B79" w:rsidRDefault="00540B79" w:rsidP="000D609A">
      <w:pPr>
        <w:spacing w:line="480" w:lineRule="auto"/>
      </w:pPr>
      <w:r>
        <w:t xml:space="preserve">Figure </w:t>
      </w:r>
      <w:r w:rsidR="00AB1F06">
        <w:t>1</w:t>
      </w:r>
      <w:r>
        <w:t>.</w:t>
      </w:r>
      <w:r w:rsidR="00AB1F06">
        <w:t xml:space="preserve"> Points represent medians, thick lines represent 50% credible intervals, thin lines represent 95% credible intervals.</w:t>
      </w:r>
    </w:p>
    <w:p w14:paraId="0A65B5C1" w14:textId="02595E40" w:rsidR="003A2A58" w:rsidRDefault="003A2A58">
      <w:r>
        <w:br w:type="page"/>
      </w:r>
    </w:p>
    <w:p w14:paraId="65383E61" w14:textId="1C658BCA" w:rsidR="003A2A58" w:rsidRDefault="00DA21DC" w:rsidP="000D609A">
      <w:pPr>
        <w:spacing w:line="480" w:lineRule="auto"/>
      </w:pPr>
      <w:r>
        <w:rPr>
          <w:noProof/>
        </w:rPr>
        <w:lastRenderedPageBreak/>
        <w:drawing>
          <wp:inline distT="0" distB="0" distL="0" distR="0" wp14:anchorId="7EB0815F" wp14:editId="1C7F53CB">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06A71082" w14:textId="0710646E" w:rsidR="003A2A58" w:rsidRDefault="003A2A58" w:rsidP="000D609A">
      <w:pPr>
        <w:spacing w:line="480" w:lineRule="auto"/>
      </w:pPr>
      <w:r>
        <w:t xml:space="preserve">Figure </w:t>
      </w:r>
      <w:r w:rsidR="00AB1F06">
        <w:t>2.</w:t>
      </w:r>
      <w:r w:rsidR="00DA5271">
        <w:t xml:space="preserve"> Points represent medians, thick lines represent 50% credible intervals, thin lines represent 95% credible intervals.</w:t>
      </w:r>
    </w:p>
    <w:p w14:paraId="2EA744A0" w14:textId="77777777" w:rsidR="003A2A58" w:rsidRDefault="003A2A58">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5F1A3E93" w:rsidR="0087784B" w:rsidRDefault="0087784B" w:rsidP="00432EB4">
      <w:pPr>
        <w:spacing w:line="480" w:lineRule="auto"/>
      </w:pPr>
      <w:r>
        <w:t xml:space="preserve">Figure </w:t>
      </w:r>
      <w:r w:rsidR="00AB1F06">
        <w:t>3</w:t>
      </w:r>
      <w:r>
        <w:t>.</w:t>
      </w:r>
      <w:r w:rsidR="003E02ED">
        <w:t xml:space="preserve"> Distribution of woodcock flight altitudes compared to </w:t>
      </w:r>
      <w:r w:rsidR="0099358E">
        <w:t xml:space="preserve">the heights of low-rise buildings (red), </w:t>
      </w:r>
      <w:r w:rsidR="005742F0">
        <w:t>land-based</w:t>
      </w:r>
      <w:r w:rsidR="0099358E">
        <w:t xml:space="preserve"> wind turbines (orange), and communications towers (yellow).</w:t>
      </w:r>
    </w:p>
    <w:p w14:paraId="7D39960F" w14:textId="3A472041" w:rsidR="0087784B" w:rsidRDefault="0087784B">
      <w:r>
        <w:br w:type="page"/>
      </w:r>
    </w:p>
    <w:p w14:paraId="6D779038" w14:textId="7BB28855" w:rsidR="007009AC" w:rsidRPr="007009AC" w:rsidRDefault="007009AC" w:rsidP="000D609A">
      <w:pPr>
        <w:spacing w:line="480" w:lineRule="auto"/>
        <w:rPr>
          <w:b/>
          <w:bCs/>
        </w:rPr>
      </w:pPr>
      <w:r>
        <w:rPr>
          <w:b/>
          <w:bCs/>
        </w:rPr>
        <w:lastRenderedPageBreak/>
        <w:t>4 Discussion</w:t>
      </w:r>
    </w:p>
    <w:sectPr w:rsidR="007009AC" w:rsidRPr="007009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4-03-21T10:04:00Z" w:initials="LB">
    <w:p w14:paraId="3E519367" w14:textId="77777777" w:rsidR="00B256DE" w:rsidRDefault="00B256DE" w:rsidP="00B256DE">
      <w:pPr>
        <w:pStyle w:val="CommentText"/>
      </w:pPr>
      <w:r>
        <w:rPr>
          <w:rStyle w:val="CommentReference"/>
        </w:rPr>
        <w:annotationRef/>
      </w:r>
      <w:r>
        <w:t>Include designation of adult and juvenile locations</w:t>
      </w:r>
    </w:p>
  </w:comment>
  <w:comment w:id="1" w:author="Liam Berigan" w:date="2024-03-22T11:17:00Z" w:initials="LB">
    <w:p w14:paraId="2EC4B711" w14:textId="77777777" w:rsidR="007F11EE" w:rsidRDefault="007F11EE" w:rsidP="007F11EE">
      <w:pPr>
        <w:pStyle w:val="CommentText"/>
      </w:pPr>
      <w:r>
        <w:rPr>
          <w:rStyle w:val="CommentReference"/>
        </w:rPr>
        <w:annotationRef/>
      </w:r>
      <w:r>
        <w:t xml:space="preserve">Cite arcpro, </w:t>
      </w:r>
      <w:hyperlink r:id="rId1" w:history="1">
        <w:r w:rsidRPr="00B73F8B">
          <w:rPr>
            <w:rStyle w:val="Hyperlink"/>
          </w:rPr>
          <w:t>https://www.arcgis.com/home/item.html?id=58a541efc59545e6b7137f961d7de883</w:t>
        </w:r>
      </w:hyperlink>
    </w:p>
  </w:comment>
  <w:comment w:id="2" w:author="Liam Akerlof Berigan" w:date="2024-03-20T14:57:00Z" w:initials="LB">
    <w:p w14:paraId="02E8599C" w14:textId="0AC91CDB" w:rsidR="006927AD" w:rsidRDefault="006927AD" w:rsidP="006927AD">
      <w:pPr>
        <w:pStyle w:val="CommentText"/>
      </w:pPr>
      <w:r>
        <w:rPr>
          <w:rStyle w:val="CommentReference"/>
        </w:rPr>
        <w:annotationRef/>
      </w:r>
      <w:r>
        <w:t>Include info on how this was determined from past data</w:t>
      </w:r>
    </w:p>
  </w:comment>
  <w:comment w:id="3" w:author="Liam Akerlof Berigan" w:date="2024-03-20T15:26:00Z" w:initials="LB">
    <w:p w14:paraId="0C77DDBD" w14:textId="77777777" w:rsidR="00B83ECD" w:rsidRDefault="00B83ECD" w:rsidP="00B83ECD">
      <w:pPr>
        <w:pStyle w:val="CommentText"/>
      </w:pPr>
      <w:r>
        <w:rPr>
          <w:rStyle w:val="CommentReference"/>
        </w:rPr>
        <w:annotationRef/>
      </w:r>
      <w:r>
        <w:t>“a priori knowledge of the probability that a woodcock would undergo a migratory flight on any given night (cite tk)”</w:t>
      </w:r>
    </w:p>
  </w:comment>
  <w:comment w:id="4" w:author="Liam Akerlof Berigan" w:date="2024-03-20T15:56:00Z" w:initials="LB">
    <w:p w14:paraId="610DE0A7" w14:textId="77777777" w:rsidR="00B256DE" w:rsidRDefault="00074D54" w:rsidP="00B256DE">
      <w:pPr>
        <w:pStyle w:val="CommentText"/>
      </w:pPr>
      <w:r>
        <w:rPr>
          <w:rStyle w:val="CommentReference"/>
        </w:rPr>
        <w:annotationRef/>
      </w:r>
    </w:p>
  </w:comment>
  <w:comment w:id="5" w:author="Liam Akerlof Berigan" w:date="2024-03-21T11:10:00Z" w:initials="LB">
    <w:p w14:paraId="198C6B47" w14:textId="77777777" w:rsidR="005742F0" w:rsidRDefault="005742F0" w:rsidP="005742F0">
      <w:pPr>
        <w:pStyle w:val="CommentText"/>
      </w:pPr>
      <w:r>
        <w:rPr>
          <w:rStyle w:val="CommentReference"/>
        </w:rPr>
        <w:annotationRef/>
      </w:r>
      <w:r>
        <w:t>Find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19367" w15:done="0"/>
  <w15:commentEx w15:paraId="2EC4B711" w15:done="0"/>
  <w15:commentEx w15:paraId="02E8599C" w15:done="0"/>
  <w15:commentEx w15:paraId="0C77DDBD" w15:paraIdParent="02E8599C" w15:done="0"/>
  <w15:commentEx w15:paraId="610DE0A7" w15:paraIdParent="02E8599C" w15:done="0"/>
  <w15:commentEx w15:paraId="198C6B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E0C5E0" w16cex:dateUtc="2024-03-21T14:04:00Z"/>
  <w16cex:commentExtensible w16cex:durableId="71C65303" w16cex:dateUtc="2024-03-22T15:17:00Z"/>
  <w16cex:commentExtensible w16cex:durableId="2FA038C1" w16cex:dateUtc="2024-03-20T18:57:00Z"/>
  <w16cex:commentExtensible w16cex:durableId="23B19934" w16cex:dateUtc="2024-03-20T19:26:00Z"/>
  <w16cex:commentExtensible w16cex:durableId="7B43C4BD" w16cex:dateUtc="2024-03-20T19:56:00Z"/>
  <w16cex:commentExtensible w16cex:durableId="1E10738E" w16cex:dateUtc="2024-03-21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19367" w16cid:durableId="40E0C5E0"/>
  <w16cid:commentId w16cid:paraId="2EC4B711" w16cid:durableId="71C65303"/>
  <w16cid:commentId w16cid:paraId="02E8599C" w16cid:durableId="2FA038C1"/>
  <w16cid:commentId w16cid:paraId="0C77DDBD" w16cid:durableId="23B19934"/>
  <w16cid:commentId w16cid:paraId="610DE0A7" w16cid:durableId="7B43C4BD"/>
  <w16cid:commentId w16cid:paraId="198C6B47" w16cid:durableId="1E107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53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rson w15:author="Liam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79"/>
    <w:rsid w:val="00005E45"/>
    <w:rsid w:val="000103D8"/>
    <w:rsid w:val="00020AE6"/>
    <w:rsid w:val="00040237"/>
    <w:rsid w:val="00074D54"/>
    <w:rsid w:val="00090808"/>
    <w:rsid w:val="000A655E"/>
    <w:rsid w:val="000C2134"/>
    <w:rsid w:val="000C6B69"/>
    <w:rsid w:val="000D609A"/>
    <w:rsid w:val="000D61AE"/>
    <w:rsid w:val="0016353E"/>
    <w:rsid w:val="00177594"/>
    <w:rsid w:val="00177B49"/>
    <w:rsid w:val="0018205B"/>
    <w:rsid w:val="00184E5D"/>
    <w:rsid w:val="00186988"/>
    <w:rsid w:val="00190959"/>
    <w:rsid w:val="00192B65"/>
    <w:rsid w:val="00193E02"/>
    <w:rsid w:val="00194AB5"/>
    <w:rsid w:val="001A03BC"/>
    <w:rsid w:val="001C5565"/>
    <w:rsid w:val="001D4E66"/>
    <w:rsid w:val="001E1C1E"/>
    <w:rsid w:val="001F0E2B"/>
    <w:rsid w:val="001F6812"/>
    <w:rsid w:val="00206E0F"/>
    <w:rsid w:val="00221A06"/>
    <w:rsid w:val="00224299"/>
    <w:rsid w:val="00234EA1"/>
    <w:rsid w:val="0024518C"/>
    <w:rsid w:val="00252E7D"/>
    <w:rsid w:val="002601A0"/>
    <w:rsid w:val="00265C19"/>
    <w:rsid w:val="00274EA4"/>
    <w:rsid w:val="00295708"/>
    <w:rsid w:val="002B5B1D"/>
    <w:rsid w:val="002C5E37"/>
    <w:rsid w:val="002D50A6"/>
    <w:rsid w:val="002E0192"/>
    <w:rsid w:val="002F5AA7"/>
    <w:rsid w:val="00306007"/>
    <w:rsid w:val="003109FB"/>
    <w:rsid w:val="00313632"/>
    <w:rsid w:val="003321FE"/>
    <w:rsid w:val="00342DE8"/>
    <w:rsid w:val="00357080"/>
    <w:rsid w:val="00357182"/>
    <w:rsid w:val="0035720C"/>
    <w:rsid w:val="00364EF6"/>
    <w:rsid w:val="0036505F"/>
    <w:rsid w:val="00367CB1"/>
    <w:rsid w:val="00386539"/>
    <w:rsid w:val="003A107D"/>
    <w:rsid w:val="003A2A58"/>
    <w:rsid w:val="003D2EAE"/>
    <w:rsid w:val="003D5785"/>
    <w:rsid w:val="003E02ED"/>
    <w:rsid w:val="003E4DF1"/>
    <w:rsid w:val="004054B5"/>
    <w:rsid w:val="00432EB4"/>
    <w:rsid w:val="0044038E"/>
    <w:rsid w:val="00454099"/>
    <w:rsid w:val="00471DA6"/>
    <w:rsid w:val="00483AE2"/>
    <w:rsid w:val="004A0997"/>
    <w:rsid w:val="004D6D56"/>
    <w:rsid w:val="005020CB"/>
    <w:rsid w:val="0051198F"/>
    <w:rsid w:val="00520561"/>
    <w:rsid w:val="00524F7A"/>
    <w:rsid w:val="00526F5B"/>
    <w:rsid w:val="005371FB"/>
    <w:rsid w:val="00540B79"/>
    <w:rsid w:val="005432BC"/>
    <w:rsid w:val="005531E8"/>
    <w:rsid w:val="005742F0"/>
    <w:rsid w:val="00580558"/>
    <w:rsid w:val="0059321C"/>
    <w:rsid w:val="00594946"/>
    <w:rsid w:val="005A0F48"/>
    <w:rsid w:val="005B49D7"/>
    <w:rsid w:val="005C605F"/>
    <w:rsid w:val="005D3073"/>
    <w:rsid w:val="005E00B7"/>
    <w:rsid w:val="005E0E66"/>
    <w:rsid w:val="005E2238"/>
    <w:rsid w:val="00602B22"/>
    <w:rsid w:val="00632D86"/>
    <w:rsid w:val="0066739E"/>
    <w:rsid w:val="0067153E"/>
    <w:rsid w:val="00672F74"/>
    <w:rsid w:val="00676994"/>
    <w:rsid w:val="006927AD"/>
    <w:rsid w:val="006A746B"/>
    <w:rsid w:val="006B2457"/>
    <w:rsid w:val="006B2C9E"/>
    <w:rsid w:val="006F4315"/>
    <w:rsid w:val="007009AC"/>
    <w:rsid w:val="00710937"/>
    <w:rsid w:val="00715E7E"/>
    <w:rsid w:val="00723586"/>
    <w:rsid w:val="00731446"/>
    <w:rsid w:val="0074002D"/>
    <w:rsid w:val="00746262"/>
    <w:rsid w:val="00754291"/>
    <w:rsid w:val="00754CE3"/>
    <w:rsid w:val="007568D5"/>
    <w:rsid w:val="00761B49"/>
    <w:rsid w:val="00770F41"/>
    <w:rsid w:val="00774031"/>
    <w:rsid w:val="00792630"/>
    <w:rsid w:val="007965BE"/>
    <w:rsid w:val="007A068A"/>
    <w:rsid w:val="007A7AC3"/>
    <w:rsid w:val="007B2DA9"/>
    <w:rsid w:val="007B5626"/>
    <w:rsid w:val="007F108C"/>
    <w:rsid w:val="007F11EE"/>
    <w:rsid w:val="008070DF"/>
    <w:rsid w:val="00807F59"/>
    <w:rsid w:val="008219B3"/>
    <w:rsid w:val="008514B2"/>
    <w:rsid w:val="00852E29"/>
    <w:rsid w:val="00856935"/>
    <w:rsid w:val="00860C39"/>
    <w:rsid w:val="00865B66"/>
    <w:rsid w:val="0087784B"/>
    <w:rsid w:val="00881152"/>
    <w:rsid w:val="00881EE0"/>
    <w:rsid w:val="00885DA7"/>
    <w:rsid w:val="008927C3"/>
    <w:rsid w:val="008A3E1D"/>
    <w:rsid w:val="008B2228"/>
    <w:rsid w:val="008C2B94"/>
    <w:rsid w:val="008D03C8"/>
    <w:rsid w:val="008D1052"/>
    <w:rsid w:val="008D2D68"/>
    <w:rsid w:val="008D3FB3"/>
    <w:rsid w:val="008E1C8F"/>
    <w:rsid w:val="008E2635"/>
    <w:rsid w:val="008E511A"/>
    <w:rsid w:val="008E6945"/>
    <w:rsid w:val="008F7579"/>
    <w:rsid w:val="00910238"/>
    <w:rsid w:val="009400AE"/>
    <w:rsid w:val="00950CC9"/>
    <w:rsid w:val="00950E0F"/>
    <w:rsid w:val="00952092"/>
    <w:rsid w:val="009522C4"/>
    <w:rsid w:val="009528AE"/>
    <w:rsid w:val="009746FB"/>
    <w:rsid w:val="00976AF4"/>
    <w:rsid w:val="0099358E"/>
    <w:rsid w:val="00993A5D"/>
    <w:rsid w:val="0099738E"/>
    <w:rsid w:val="009A0710"/>
    <w:rsid w:val="009A3185"/>
    <w:rsid w:val="009C4DE4"/>
    <w:rsid w:val="009D0609"/>
    <w:rsid w:val="009E4DA3"/>
    <w:rsid w:val="00A02B41"/>
    <w:rsid w:val="00A04705"/>
    <w:rsid w:val="00A10579"/>
    <w:rsid w:val="00A174E4"/>
    <w:rsid w:val="00A43331"/>
    <w:rsid w:val="00A51234"/>
    <w:rsid w:val="00A53F71"/>
    <w:rsid w:val="00A547A9"/>
    <w:rsid w:val="00A71473"/>
    <w:rsid w:val="00A81BA0"/>
    <w:rsid w:val="00A9200F"/>
    <w:rsid w:val="00A96A9E"/>
    <w:rsid w:val="00AA74BD"/>
    <w:rsid w:val="00AB1F06"/>
    <w:rsid w:val="00AC2E9F"/>
    <w:rsid w:val="00AD4913"/>
    <w:rsid w:val="00AD67F8"/>
    <w:rsid w:val="00B24AB1"/>
    <w:rsid w:val="00B256DE"/>
    <w:rsid w:val="00B3560A"/>
    <w:rsid w:val="00B441A6"/>
    <w:rsid w:val="00B534C8"/>
    <w:rsid w:val="00B73079"/>
    <w:rsid w:val="00B83ECD"/>
    <w:rsid w:val="00B855F6"/>
    <w:rsid w:val="00B91509"/>
    <w:rsid w:val="00BA1B34"/>
    <w:rsid w:val="00BA52D1"/>
    <w:rsid w:val="00BC43FC"/>
    <w:rsid w:val="00BC7FFE"/>
    <w:rsid w:val="00BD0A0C"/>
    <w:rsid w:val="00BD1F04"/>
    <w:rsid w:val="00BE7E05"/>
    <w:rsid w:val="00C147D6"/>
    <w:rsid w:val="00C255F6"/>
    <w:rsid w:val="00C33F73"/>
    <w:rsid w:val="00C71F5F"/>
    <w:rsid w:val="00C9287F"/>
    <w:rsid w:val="00C92C50"/>
    <w:rsid w:val="00CA57ED"/>
    <w:rsid w:val="00CB0B69"/>
    <w:rsid w:val="00CC1709"/>
    <w:rsid w:val="00CD034C"/>
    <w:rsid w:val="00CF596A"/>
    <w:rsid w:val="00CF63D8"/>
    <w:rsid w:val="00CF6588"/>
    <w:rsid w:val="00D00DF7"/>
    <w:rsid w:val="00D14C5C"/>
    <w:rsid w:val="00D1638D"/>
    <w:rsid w:val="00D47E9B"/>
    <w:rsid w:val="00D54B6E"/>
    <w:rsid w:val="00D63CF3"/>
    <w:rsid w:val="00D80132"/>
    <w:rsid w:val="00D82BB7"/>
    <w:rsid w:val="00D87855"/>
    <w:rsid w:val="00D93C8E"/>
    <w:rsid w:val="00DA1989"/>
    <w:rsid w:val="00DA21DC"/>
    <w:rsid w:val="00DA3A8E"/>
    <w:rsid w:val="00DA5271"/>
    <w:rsid w:val="00DB4E94"/>
    <w:rsid w:val="00DB5C13"/>
    <w:rsid w:val="00DB683F"/>
    <w:rsid w:val="00DB77F7"/>
    <w:rsid w:val="00DE60FB"/>
    <w:rsid w:val="00E0552E"/>
    <w:rsid w:val="00E11FFB"/>
    <w:rsid w:val="00E22318"/>
    <w:rsid w:val="00E23927"/>
    <w:rsid w:val="00E24D4B"/>
    <w:rsid w:val="00E417BB"/>
    <w:rsid w:val="00E46029"/>
    <w:rsid w:val="00E8222F"/>
    <w:rsid w:val="00E93053"/>
    <w:rsid w:val="00E94423"/>
    <w:rsid w:val="00EA4EAA"/>
    <w:rsid w:val="00EB0289"/>
    <w:rsid w:val="00EC3AD1"/>
    <w:rsid w:val="00ED1977"/>
    <w:rsid w:val="00EF70E9"/>
    <w:rsid w:val="00F02835"/>
    <w:rsid w:val="00F05A1B"/>
    <w:rsid w:val="00F14154"/>
    <w:rsid w:val="00F23EE9"/>
    <w:rsid w:val="00F24B66"/>
    <w:rsid w:val="00F34601"/>
    <w:rsid w:val="00F541AA"/>
    <w:rsid w:val="00F54960"/>
    <w:rsid w:val="00F56846"/>
    <w:rsid w:val="00F73298"/>
    <w:rsid w:val="00F73BA5"/>
    <w:rsid w:val="00F7503E"/>
    <w:rsid w:val="00F87BAB"/>
    <w:rsid w:val="00FA2B33"/>
    <w:rsid w:val="00FA73D8"/>
    <w:rsid w:val="00FB1F8B"/>
    <w:rsid w:val="00FB5911"/>
    <w:rsid w:val="00FC6C19"/>
    <w:rsid w:val="00FD4193"/>
    <w:rsid w:val="00FE3949"/>
    <w:rsid w:val="00FE6EA9"/>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5BAB991C-0669-427F-8C8A-7058BD45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styleId="UnresolvedMention">
    <w:name w:val="Unresolved Mention"/>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cgis.com/home/item.html?id=58a541efc59545e6b7137f961d7de88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9A063-24FF-46A5-BBC8-2388065E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10</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233</cp:revision>
  <dcterms:created xsi:type="dcterms:W3CDTF">2024-03-19T17:29:00Z</dcterms:created>
  <dcterms:modified xsi:type="dcterms:W3CDTF">2024-03-22T16:13:00Z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id="g4V7fhEh"/&gt;&lt;style id="http://www.zotero.org/styles/the-condor" hasBibliography="1" bibliographyStyleHasBeenSet="0"/&gt;&lt;prefs&gt;&lt;pref name="fieldType" value="Field"/&gt;&lt;/prefs&gt;&lt;/data&gt;</vt:lpwstr>
  </property>
</Properties>
</file>