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2E5D8" w14:textId="48196487" w:rsidR="00F24B66" w:rsidRDefault="007009AC" w:rsidP="000D609A">
      <w:pPr>
        <w:spacing w:line="480" w:lineRule="auto"/>
        <w:rPr>
          <w:b/>
          <w:bCs/>
        </w:rPr>
      </w:pPr>
      <w:r>
        <w:rPr>
          <w:b/>
          <w:bCs/>
        </w:rPr>
        <w:t>1 Introduction</w:t>
      </w:r>
    </w:p>
    <w:p w14:paraId="552540D3" w14:textId="70D3B59F" w:rsidR="007009AC" w:rsidRDefault="007009AC" w:rsidP="000D609A">
      <w:pPr>
        <w:spacing w:line="480" w:lineRule="auto"/>
        <w:rPr>
          <w:b/>
          <w:bCs/>
        </w:rPr>
      </w:pPr>
      <w:r>
        <w:rPr>
          <w:b/>
          <w:bCs/>
        </w:rPr>
        <w:t>2 Methods</w:t>
      </w:r>
    </w:p>
    <w:p w14:paraId="315B1FEF" w14:textId="77777777" w:rsidR="00594946" w:rsidRDefault="00594946" w:rsidP="00594946">
      <w:pPr>
        <w:rPr>
          <w:i/>
          <w:iCs/>
        </w:rPr>
      </w:pPr>
      <w:r>
        <w:rPr>
          <w:i/>
          <w:iCs/>
        </w:rPr>
        <w:t>2.1 Data collection and preprocessing</w:t>
      </w:r>
    </w:p>
    <w:p w14:paraId="31A63405" w14:textId="137F536E" w:rsidR="00186988" w:rsidRDefault="009A0710" w:rsidP="000D609A">
      <w:pPr>
        <w:spacing w:line="480" w:lineRule="auto"/>
      </w:pPr>
      <w:r>
        <w:t>We collected satellite GPS data</w:t>
      </w:r>
      <w:r w:rsidR="00E94423">
        <w:t xml:space="preserve"> with altitude readings</w:t>
      </w:r>
      <w:r>
        <w:t xml:space="preserve"> from </w:t>
      </w:r>
      <w:commentRangeStart w:id="0"/>
      <w:r w:rsidR="00E94423">
        <w:t>2017</w:t>
      </w:r>
      <w:commentRangeEnd w:id="0"/>
      <w:r w:rsidR="00E94423">
        <w:rPr>
          <w:rStyle w:val="CommentReference"/>
        </w:rPr>
        <w:commentReference w:id="0"/>
      </w:r>
      <w:r w:rsidRPr="00512241">
        <w:t>–2023</w:t>
      </w:r>
      <w:r>
        <w:t xml:space="preserve"> using </w:t>
      </w:r>
      <w:r w:rsidRPr="00512241">
        <w:t>4–7 g PinPoint GPS transmitters (Lotek Wireless Inc., Newmarket, Ontario, CA)</w:t>
      </w:r>
      <w:r>
        <w:t xml:space="preserve"> as a part of a larger collaborative effort by the Eastern Woodcock Migration Research Cooperative </w:t>
      </w:r>
      <w:r>
        <w:fldChar w:fldCharType="begin"/>
      </w:r>
      <w:r>
        <w:instrText xml:space="preserve"> ADDIN ZOTERO_ITEM CSL_CITATION {"citationID":"FwmSNGtM","properties":{"formattedCitation":"(Blomberg et al. 2023, Clements et al. 2024, Fish et al. 2024)","plainCitation":"(Blomberg et al. 2023, Clements et al. 2024, Fish et al. 2024)","noteIndex":0},"citationItems":[{"id":408,"uris":["http://zotero.org/users/10854879/items/YF6LGWE3"],"itemData":{"id":408,"type":"article-journal","abstract":"Abstract\n            \n              American woodcock (\n              Scolopax minor\n              ; woodcock) are monitored, in part, by counts of displaying male woodcock collected via the American Woodcock Singing Ground Survey (SGS), which suggests long</w:instrText>
      </w:r>
      <w:r>
        <w:rPr>
          <w:rFonts w:ascii="Cambria Math" w:hAnsi="Cambria Math" w:cs="Cambria Math"/>
        </w:rPr>
        <w:instrText>‐</w:instrText>
      </w:r>
      <w:r>
        <w:instrText>term, range</w:instrText>
      </w:r>
      <w:r>
        <w:rPr>
          <w:rFonts w:ascii="Cambria Math" w:hAnsi="Cambria Math" w:cs="Cambria Math"/>
        </w:rPr>
        <w:instrText>‐</w:instrText>
      </w:r>
      <w:r>
        <w:instrText>wide declines in woodcock populations. Data from the SGS have been used extensively to develop conservation plans, direct management actions, and understand causes of decline. To avoid bias, the SGS should be timed to avoid spring migration, and the distribution of survey routes should coincide with woodcock breeding distribution. Our objectives for this research were to evaluate SGS timing with the phenology of male woodcock migration, relate the spatial coverage of the SGS to male woodcock breeding distributions, and explore other sources of variation in woodcock migration timing. We marked 133 male woodcock captured throughout eastern North America with global positioning system (GPS) transmitters during 2019–2022, and compared the timing of their spring migration with the spatiotemporal stratification of the SGS. Most woodcock (74%) completed migration prior to the onset of the SGS. In the northernmost SGS zone, a greater percentage of males (34%) continued migration during the survey window; however, the influence of this mismatch is offset because SGS routes were run more frequently during the second half of the window. Young woodcock completing their first spring migration took 8.6 days longer to do so, on average, compared to adults, and so were more likely to migrate during the SGS window. We found little evidence that timing of migration varied among years. Existing SGS routes cover the majority of male woodcock post</w:instrText>
      </w:r>
      <w:r>
        <w:rPr>
          <w:rFonts w:ascii="Cambria Math" w:hAnsi="Cambria Math" w:cs="Cambria Math"/>
        </w:rPr>
        <w:instrText>‐</w:instrText>
      </w:r>
      <w:r>
        <w:instrText xml:space="preserve">migratory breeding distribution, with 90% of male woodcock establishing final breeding sites within the spatial coverage of the SGS. Our results confirm the SGS includes some migrating males, with the proportion relative to resident breeding males increasing in more northern survey strata. Our data suggests these errors are unlikely to bias trend estimates at large scales (e.g., within woodcock management regions), but there may be potential for bias at more local scales (e.g., state or provincial population indices).","container-title":"The Journal of Wildlife Management","DOI":"10.1002/jwmg.22488","ISSN":"0022-541X, 1937-2817","issue":"8","journalAbbreviation":"J Wildl Manag","language":"en","page":"e22488","source":"DOI.org (Crossref)","title":"The American Woodcock Singing Ground Survey largely conforms to the phenology of male woodcock migration","volume":"87","author":[{"family":"Blomberg","given":"Erik J."},{"family":"Fish","given":"Alexander C."},{"family":"Berigan","given":"Liam A."},{"family":"Roth","given":"Amber M."},{"family":"Rau","given":"Rebecca"},{"family":"Clements","given":"Sarah J."},{"family":"Balkcom","given":"Greg"},{"family":"Carpenter","given":"Bobbi"},{"family":"Costanzo","given":"Gary"},{"family":"Duguay","given":"Jeffrey"},{"family":"Graham","given":"Clayton L."},{"family":"Harvey","given":"William"},{"family":"Hook","given":"Michael"},{"family":"Howell","given":"Douglas L."},{"family":"Maddox","given":"Seth"},{"family":"McWilliams","given":"Scott"},{"family":"Meyer","given":"Shawn W."},{"family":"Nichols","given":"Theodore C."},{"family":"Pollard","given":"J. Bruce"},{"family":"Roy","given":"Christian"},{"family":"Slezak","given":"Colby"},{"family":"Stiller","given":"Josh"},{"family":"Tetreault","given":"Mathieu"},{"family":"Williams","given":"Lisa"}],"issued":{"date-parts":[["2023",11]]}}},{"id":721,"uris":["http://zotero.org/users/10854879/items/YWUHZWNJ"],"itemData":{"id":721,"type":"article-journal","container-title":"Ornithology","note":"publisher: Oxford University Press US","page":"ukae008","source":"Google Scholar","title":"Satellite tracking of American Woodcock reveals a gradient of migration strategies","author":[{"family":"Clements","given":"Sarah J."},{"family":"Berigan","given":"Liam A."},{"family":"Fish","given":"Alexander C."},{"family":"Darling","given":"Rachel L."},{"family":"Roth","given":"Amber M."},{"family":"Balkcom","given":"Greg"},{"family":"Carpenter","given":"Bobbi"},{"family":"Costanzo","given":"Gary"},{"family":"Duguay","given":"Jeffrey"},{"family":"Filkins","given":"Kayleigh"}],"issued":{"date-parts":[["2024"]]}}},{"id":755,"uris":["http://zotero.org/users/10854879/items/D2U8UP58"],"itemData":{"id":755,"type":"article-journal","abstract":"Understanding the phenology of migration is fundamental to management of migratory gamebirds, in part because of the role migratory timing plays in setting harvest regulations. Migratory timing is particularly important for determining appropriate dates for hunting seasons, which may be selected to coincide with major periods of migration, according to local management objectives. We used global positioning system (GPS)-transmitters to track American woodcock (Scolopax minor), characterize the timing of woodcock migration, and identify sources of variation in timing relative to current hunting season structures in eastern North America. We captured 304 woodcock in 3 Canadian provinces and 12 states from 2017 to 2020, primarily within the Eastern Woodcock Management Region. Using locations collected every 1.7 days on average, we assessed whether initiation, termination, or stopover timing of woodcock migration during fall and early spring varied geographically, differed among age and sex classes, or was influenced by individual body condition. During fall, woodcock migrating from summer use areas farther north and west (e.g., Ontario, Quebec, Canada) initiated and terminated migration earlier than woodcock migrating from areas farther south and east (e.g., Rhode Island, USA). Adult woodcock made multiday stopovers that were 3 days longer on average than juveniles and females made more stopovers on average (8.0 stopovers) compared to males (6.1 stopovers). During the onset of spring migration, woodcock that wintered farther west initiated migration before birds that spent the winter farther east, and males initiated migration on average 6 days earlier than females. Under the current 45-day harvest regulatory framework in the United States, hunting seasons in northern breeding and southern wintering areas are generally consistent with migration phenology. At more intermediate latitudes, however, periods of migration are generally longer than 45 days, resulting in many circumstances where migrating woodcock are present during periods when hunting seasons are closed. Managers in mid-latitude states could consider opening hunting seasons later, allowing hunters to harvest more migrant woodcock.","container-title":"The Journal of Wildlife Management","DOI":"10.1002/jwmg.22565","ISSN":"1937-2817","issue":"n/a","language":"en","license":"© 2024 The Wildlife Society","note":"_eprint: https://wildlife.onlinelibrary.wiley.com/doi/pdf/10.1002/jwmg.22565","page":"e22565","source":"Wiley Online Library","title":"American woodcock migration phenology in eastern North America: implications for hunting season timing","title-short":"American woodcock migration phenology in eastern North America","volume":"n/a","author":[{"family":"Fish","given":"Alexander C."},{"family":"Roth","given":"Amber M."},{"family":"Balkcom","given":"Greg"},{"family":"Berigan","given":"Liam"},{"family":"Brunette","given":"Kylie"},{"family":"Clements","given":"Sarah"},{"family":"Costanzo","given":"Gary"},{"family":"Graham","given":"Clayton L."},{"family":"Harvey","given":"William F."},{"family":"Hook","given":"Michael"},{"family":"Howell","given":"Douglas L."},{"family":"Maddox","given":"Seth"},{"family":"McWilliams","given":"Scott"},{"family":"Meyer","given":"Shawn W."},{"family":"Nichols","given":"Theodore C."},{"family":"Bruce Pollard","given":"J."},{"family":"Roy","given":"Christian"},{"family":"Stiller","given":"Josh"},{"family":"Washington","given":"Dawn"},{"family":"Williams","given":"Lisa"},{"family":"Blomberg","given":"Erik J."}],"issued":{"date-parts":[["2024"]]}}}],"schema":"https://github.com/citation-style-language/schema/raw/master/csl-citation.json"} </w:instrText>
      </w:r>
      <w:r>
        <w:fldChar w:fldCharType="separate"/>
      </w:r>
      <w:r w:rsidRPr="009A0710">
        <w:rPr>
          <w:rFonts w:ascii="Aptos" w:hAnsi="Aptos"/>
        </w:rPr>
        <w:t>(Blomberg et al. 2023, Clements et al. 2024, Fish et al. 2024)</w:t>
      </w:r>
      <w:r>
        <w:fldChar w:fldCharType="end"/>
      </w:r>
      <w:r>
        <w:t xml:space="preserve">. </w:t>
      </w:r>
      <w:r w:rsidR="00E94423">
        <w:t>Transmitters were deployed by 42 collaborators across the eastern portion of the woodcock’s range</w:t>
      </w:r>
      <w:r w:rsidR="00186988">
        <w:t xml:space="preserve"> and were programmed to collect locations primarily during fall and spring migration. In addition to recording diurnal altitudes, transmitters would record nocturnal altitudes at </w:t>
      </w:r>
      <w:r w:rsidR="00E94423">
        <w:t xml:space="preserve">either </w:t>
      </w:r>
      <w:proofErr w:type="gramStart"/>
      <w:r w:rsidR="00E94423">
        <w:t>0000 or 0100 hours</w:t>
      </w:r>
      <w:proofErr w:type="gramEnd"/>
      <w:r w:rsidR="00E94423">
        <w:t xml:space="preserve"> Eastern Time </w:t>
      </w:r>
      <w:r w:rsidR="00186988">
        <w:t xml:space="preserve">at varying schedules during the migratory season. We subset these readings to only include high quality altitude fixes, and </w:t>
      </w:r>
      <w:r w:rsidR="002E0192">
        <w:t>excluded any locations in which the bird’s migratory or non-migratory state was unknown (</w:t>
      </w:r>
      <w:proofErr w:type="spellStart"/>
      <w:r w:rsidR="002E0192">
        <w:t>Chp</w:t>
      </w:r>
      <w:proofErr w:type="spellEnd"/>
      <w:r w:rsidR="002E0192">
        <w:t>. 2).</w:t>
      </w:r>
    </w:p>
    <w:p w14:paraId="6DEBDED3" w14:textId="77777777" w:rsidR="00CD034C" w:rsidRDefault="00CD034C" w:rsidP="00CD034C">
      <w:r>
        <w:rPr>
          <w:i/>
          <w:iCs/>
        </w:rPr>
        <w:t>2.2 Transformation of altitude measurements</w:t>
      </w:r>
    </w:p>
    <w:p w14:paraId="45FA5C58" w14:textId="5EF2B7B9" w:rsidR="002E0192" w:rsidRDefault="002E0192" w:rsidP="000D609A">
      <w:pPr>
        <w:spacing w:line="480" w:lineRule="auto"/>
      </w:pPr>
      <w:r>
        <w:t xml:space="preserve">Altitude readings were initiated measured in height above the WGS84 ellipsoid model, which is easily calculable using GPS satellites but does not reliably translate to height above ground level. We transformed these readings in </w:t>
      </w:r>
      <w:proofErr w:type="spellStart"/>
      <w:r>
        <w:t>ArcPro</w:t>
      </w:r>
      <w:proofErr w:type="spellEnd"/>
      <w:r>
        <w:t xml:space="preserve"> (version number </w:t>
      </w:r>
      <w:proofErr w:type="spellStart"/>
      <w:r>
        <w:t>tk</w:t>
      </w:r>
      <w:proofErr w:type="spellEnd"/>
      <w:r>
        <w:t>)</w:t>
      </w:r>
    </w:p>
    <w:p w14:paraId="62017B81" w14:textId="60480526" w:rsidR="00CD034C" w:rsidRDefault="002E0192" w:rsidP="000D609A">
      <w:pPr>
        <w:spacing w:line="480" w:lineRule="auto"/>
      </w:pPr>
      <w:r>
        <w:t xml:space="preserve"> (</w:t>
      </w:r>
      <w:commentRangeStart w:id="1"/>
      <w:r>
        <w:t xml:space="preserve">cite </w:t>
      </w:r>
      <w:proofErr w:type="spellStart"/>
      <w:r>
        <w:t>tk</w:t>
      </w:r>
      <w:commentRangeEnd w:id="1"/>
      <w:proofErr w:type="spellEnd"/>
      <w:r>
        <w:rPr>
          <w:rStyle w:val="CommentReference"/>
        </w:rPr>
        <w:commentReference w:id="1"/>
      </w:r>
      <w:r>
        <w:t>)</w:t>
      </w:r>
    </w:p>
    <w:p w14:paraId="5B602382" w14:textId="77777777" w:rsidR="0074002D" w:rsidRDefault="0074002D" w:rsidP="0074002D">
      <w:pPr>
        <w:rPr>
          <w:i/>
          <w:iCs/>
        </w:rPr>
      </w:pPr>
      <w:r>
        <w:rPr>
          <w:i/>
          <w:iCs/>
        </w:rPr>
        <w:t>2.3 Modeling altitude distributions</w:t>
      </w:r>
    </w:p>
    <w:p w14:paraId="1ADF8784" w14:textId="77777777" w:rsidR="00CD034C" w:rsidRDefault="00CD034C" w:rsidP="000D609A">
      <w:pPr>
        <w:spacing w:line="480" w:lineRule="auto"/>
      </w:pPr>
    </w:p>
    <w:p w14:paraId="64BD9AF0" w14:textId="77777777" w:rsidR="000C6B69" w:rsidRDefault="000C6B69" w:rsidP="000C6B69">
      <w:r>
        <w:rPr>
          <w:i/>
          <w:iCs/>
        </w:rPr>
        <w:t>2.4 Comparison to other metrics</w:t>
      </w:r>
    </w:p>
    <w:p w14:paraId="7CFFEF06" w14:textId="77777777" w:rsidR="0074002D" w:rsidRPr="00594946" w:rsidRDefault="0074002D" w:rsidP="000D609A">
      <w:pPr>
        <w:spacing w:line="480" w:lineRule="auto"/>
      </w:pPr>
    </w:p>
    <w:p w14:paraId="5A06F8C6" w14:textId="2290A9B5" w:rsidR="007009AC" w:rsidRDefault="007009AC" w:rsidP="000D609A">
      <w:pPr>
        <w:spacing w:line="480" w:lineRule="auto"/>
        <w:rPr>
          <w:b/>
          <w:bCs/>
        </w:rPr>
      </w:pPr>
      <w:r>
        <w:rPr>
          <w:b/>
          <w:bCs/>
        </w:rPr>
        <w:t>3 Results</w:t>
      </w:r>
    </w:p>
    <w:p w14:paraId="3DFA762F" w14:textId="68C70F76" w:rsidR="005531E8" w:rsidRDefault="00295708" w:rsidP="00D14C5C">
      <w:pPr>
        <w:spacing w:line="480" w:lineRule="auto"/>
      </w:pPr>
      <w:r>
        <w:lastRenderedPageBreak/>
        <w:t xml:space="preserve">We </w:t>
      </w:r>
      <w:r w:rsidR="006F4315">
        <w:t xml:space="preserve">collected </w:t>
      </w:r>
      <w:r w:rsidR="00367CB1">
        <w:t>12 558</w:t>
      </w:r>
      <w:r w:rsidR="006F4315">
        <w:t xml:space="preserve"> GPS locations with altitude recordings, of which </w:t>
      </w:r>
      <w:r w:rsidR="00723586">
        <w:t>428</w:t>
      </w:r>
      <w:r w:rsidR="006F4315">
        <w:t xml:space="preserve"> </w:t>
      </w:r>
      <w:r w:rsidR="00A9200F">
        <w:t>could</w:t>
      </w:r>
      <w:r w:rsidR="006F4315">
        <w:t xml:space="preserve"> potential</w:t>
      </w:r>
      <w:r w:rsidR="00A9200F">
        <w:t>ly be</w:t>
      </w:r>
      <w:r w:rsidR="006F4315">
        <w:t xml:space="preserve"> flight loca</w:t>
      </w:r>
      <w:r w:rsidR="00A9200F">
        <w:t xml:space="preserve">tions based on time of day and migratory classification. The model predicted that </w:t>
      </w:r>
      <w:proofErr w:type="spellStart"/>
      <w:r w:rsidR="00A9200F">
        <w:t>tk</w:t>
      </w:r>
      <w:proofErr w:type="spellEnd"/>
      <w:r w:rsidR="00A9200F">
        <w:t xml:space="preserve"> of these locations were mo</w:t>
      </w:r>
      <w:r w:rsidR="00FB5911">
        <w:t>st</w:t>
      </w:r>
      <w:r w:rsidR="00A9200F">
        <w:t xml:space="preserve"> likely </w:t>
      </w:r>
      <w:r w:rsidR="00FB5911">
        <w:t>recorded when the bird was in flight</w:t>
      </w:r>
      <w:r w:rsidR="00A51234">
        <w:t xml:space="preserve"> (fall: </w:t>
      </w:r>
      <w:proofErr w:type="spellStart"/>
      <w:r w:rsidR="00B534C8">
        <w:t>tk</w:t>
      </w:r>
      <w:proofErr w:type="spellEnd"/>
      <w:r w:rsidR="00B534C8">
        <w:t xml:space="preserve"> locations, spring: </w:t>
      </w:r>
      <w:proofErr w:type="spellStart"/>
      <w:r w:rsidR="00B534C8">
        <w:t>tk</w:t>
      </w:r>
      <w:proofErr w:type="spellEnd"/>
      <w:r w:rsidR="00B534C8">
        <w:t xml:space="preserve">; adult: </w:t>
      </w:r>
      <w:proofErr w:type="spellStart"/>
      <w:r w:rsidR="00B534C8">
        <w:t>tk</w:t>
      </w:r>
      <w:proofErr w:type="spellEnd"/>
      <w:r w:rsidR="00B534C8">
        <w:t xml:space="preserve">, juvenile </w:t>
      </w:r>
      <w:proofErr w:type="spellStart"/>
      <w:r w:rsidR="00B534C8">
        <w:t>tk</w:t>
      </w:r>
      <w:proofErr w:type="spellEnd"/>
      <w:r w:rsidR="00A51234">
        <w:t>)</w:t>
      </w:r>
      <w:r w:rsidR="00A9200F">
        <w:t>.</w:t>
      </w:r>
      <w:r w:rsidR="006B2C9E">
        <w:t xml:space="preserve"> </w:t>
      </w:r>
      <w:r w:rsidR="004054B5">
        <w:t>Woodcock have an estimated median flight altitude of 262m and a</w:t>
      </w:r>
      <w:r w:rsidR="001E1C1E">
        <w:t xml:space="preserve"> </w:t>
      </w:r>
      <w:r w:rsidR="00B91509">
        <w:t>mean</w:t>
      </w:r>
      <w:r w:rsidR="004054B5">
        <w:t xml:space="preserve"> flight altitude of </w:t>
      </w:r>
      <w:r w:rsidR="00B91509">
        <w:t xml:space="preserve">364m (Table 1). </w:t>
      </w:r>
      <w:r w:rsidR="00D93C8E">
        <w:t xml:space="preserve">Woodcock fly at </w:t>
      </w:r>
      <w:r w:rsidR="002601A0">
        <w:t xml:space="preserve">mean </w:t>
      </w:r>
      <w:r w:rsidR="00D93C8E">
        <w:t xml:space="preserve">altitudes of </w:t>
      </w:r>
      <w:r w:rsidR="00D54B6E">
        <w:t>312</w:t>
      </w:r>
      <w:r w:rsidR="00D93C8E">
        <w:t xml:space="preserve">m in fall and </w:t>
      </w:r>
      <w:r w:rsidR="0018205B">
        <w:t>428</w:t>
      </w:r>
      <w:r w:rsidR="00D93C8E">
        <w:t xml:space="preserve">m in spring, with no overlap in the 50% credible intervals of those seasons (Fig. 1). Adult woodcock fly at </w:t>
      </w:r>
      <w:r w:rsidR="002601A0">
        <w:t xml:space="preserve">mean </w:t>
      </w:r>
      <w:r w:rsidR="00D93C8E">
        <w:t xml:space="preserve">altitudes of </w:t>
      </w:r>
      <w:r w:rsidR="0018205B">
        <w:t>400</w:t>
      </w:r>
      <w:r w:rsidR="002601A0">
        <w:t>m, while juvenile</w:t>
      </w:r>
      <w:r w:rsidR="009E4DA3">
        <w:t xml:space="preserve">s fly at altitudes of </w:t>
      </w:r>
      <w:r w:rsidR="00EF70E9">
        <w:t>344</w:t>
      </w:r>
      <w:r w:rsidR="009E4DA3">
        <w:t xml:space="preserve">m, with </w:t>
      </w:r>
      <w:r w:rsidR="001F0E2B">
        <w:t xml:space="preserve">some </w:t>
      </w:r>
      <w:r w:rsidR="009E4DA3">
        <w:t xml:space="preserve">overlap in the 50% credible </w:t>
      </w:r>
      <w:r w:rsidR="00471DA6">
        <w:t>intervals of those age classes (</w:t>
      </w:r>
      <w:r w:rsidR="001F0E2B">
        <w:t>Fig. 2</w:t>
      </w:r>
      <w:r w:rsidR="00471DA6">
        <w:t>).</w:t>
      </w:r>
      <w:r w:rsidR="003321FE">
        <w:t xml:space="preserve"> </w:t>
      </w:r>
      <w:r w:rsidR="00746262">
        <w:t>Almost half of woodcock</w:t>
      </w:r>
      <w:r w:rsidR="005531E8">
        <w:t xml:space="preserve"> flight</w:t>
      </w:r>
      <w:r w:rsidR="00746262">
        <w:t xml:space="preserve"> locations were at </w:t>
      </w:r>
      <w:r w:rsidR="003321FE">
        <w:t>altitudes &lt;</w:t>
      </w:r>
      <w:r w:rsidR="00A71473">
        <w:t>244</w:t>
      </w:r>
      <w:r w:rsidR="003321FE">
        <w:t xml:space="preserve">m, </w:t>
      </w:r>
      <w:r w:rsidR="00792630">
        <w:t xml:space="preserve">posing potential </w:t>
      </w:r>
      <w:r w:rsidR="00BE7E05">
        <w:t>risks for collisions with low-rise buildings, wind turbines, and communications towers (Fig. 3).</w:t>
      </w:r>
    </w:p>
    <w:p w14:paraId="6847E3C8" w14:textId="65B803AA" w:rsidR="005B49D7" w:rsidRDefault="005531E8" w:rsidP="005531E8">
      <w:r>
        <w:br w:type="page"/>
      </w:r>
    </w:p>
    <w:tbl>
      <w:tblPr>
        <w:tblStyle w:val="TableGrid"/>
        <w:tblW w:w="0" w:type="auto"/>
        <w:tblLook w:val="04A0" w:firstRow="1" w:lastRow="0" w:firstColumn="1" w:lastColumn="0" w:noHBand="0" w:noVBand="1"/>
      </w:tblPr>
      <w:tblGrid>
        <w:gridCol w:w="2515"/>
        <w:gridCol w:w="2159"/>
        <w:gridCol w:w="2338"/>
        <w:gridCol w:w="2338"/>
      </w:tblGrid>
      <w:tr w:rsidR="005B49D7" w14:paraId="786A9D75" w14:textId="77777777" w:rsidTr="00D47E9B">
        <w:tc>
          <w:tcPr>
            <w:tcW w:w="2515" w:type="dxa"/>
            <w:tcBorders>
              <w:left w:val="nil"/>
              <w:bottom w:val="single" w:sz="4" w:space="0" w:color="auto"/>
              <w:right w:val="nil"/>
            </w:tcBorders>
          </w:tcPr>
          <w:p w14:paraId="08C145D8" w14:textId="4AECC4B9" w:rsidR="005B49D7" w:rsidRDefault="00AA74BD" w:rsidP="00BD0A0C">
            <w:pPr>
              <w:spacing w:after="120"/>
            </w:pPr>
            <w:r>
              <w:lastRenderedPageBreak/>
              <w:t>Metric</w:t>
            </w:r>
          </w:p>
        </w:tc>
        <w:tc>
          <w:tcPr>
            <w:tcW w:w="2159" w:type="dxa"/>
            <w:tcBorders>
              <w:left w:val="nil"/>
              <w:bottom w:val="single" w:sz="4" w:space="0" w:color="auto"/>
              <w:right w:val="nil"/>
            </w:tcBorders>
          </w:tcPr>
          <w:p w14:paraId="79A12A0F" w14:textId="597ACFEA" w:rsidR="005B49D7" w:rsidRDefault="005B49D7" w:rsidP="00BD0A0C">
            <w:pPr>
              <w:spacing w:after="120"/>
            </w:pPr>
            <w:r>
              <w:t>Estimate</w:t>
            </w:r>
          </w:p>
        </w:tc>
        <w:tc>
          <w:tcPr>
            <w:tcW w:w="2338" w:type="dxa"/>
            <w:tcBorders>
              <w:left w:val="nil"/>
              <w:bottom w:val="single" w:sz="4" w:space="0" w:color="auto"/>
              <w:right w:val="nil"/>
            </w:tcBorders>
          </w:tcPr>
          <w:p w14:paraId="36D7834D" w14:textId="60D717E4" w:rsidR="005B49D7" w:rsidRDefault="005B49D7" w:rsidP="00BD0A0C">
            <w:pPr>
              <w:spacing w:after="120"/>
            </w:pPr>
            <w:r>
              <w:t>50% Credible Interval</w:t>
            </w:r>
          </w:p>
        </w:tc>
        <w:tc>
          <w:tcPr>
            <w:tcW w:w="2338" w:type="dxa"/>
            <w:tcBorders>
              <w:left w:val="nil"/>
              <w:bottom w:val="single" w:sz="4" w:space="0" w:color="auto"/>
              <w:right w:val="nil"/>
            </w:tcBorders>
          </w:tcPr>
          <w:p w14:paraId="04D4F293" w14:textId="23223E6A" w:rsidR="005B49D7" w:rsidRDefault="005B49D7" w:rsidP="00BD0A0C">
            <w:pPr>
              <w:spacing w:after="120"/>
            </w:pPr>
            <w:r>
              <w:t>95% Credible Interval</w:t>
            </w:r>
          </w:p>
        </w:tc>
      </w:tr>
      <w:tr w:rsidR="005B49D7" w14:paraId="5EDA45C5" w14:textId="77777777" w:rsidTr="00D47E9B">
        <w:tc>
          <w:tcPr>
            <w:tcW w:w="2515" w:type="dxa"/>
            <w:tcBorders>
              <w:left w:val="nil"/>
              <w:bottom w:val="nil"/>
              <w:right w:val="nil"/>
            </w:tcBorders>
          </w:tcPr>
          <w:p w14:paraId="2D278A37" w14:textId="6EF5FAA0" w:rsidR="005B49D7" w:rsidRPr="00DA1989" w:rsidRDefault="00A43331" w:rsidP="00BD0A0C">
            <w:pPr>
              <w:spacing w:after="120"/>
              <w:rPr>
                <w:b/>
                <w:bCs/>
              </w:rPr>
            </w:pPr>
            <w:r w:rsidRPr="00DA1989">
              <w:rPr>
                <w:b/>
                <w:bCs/>
              </w:rPr>
              <w:t>Median Flight Altitude</w:t>
            </w:r>
          </w:p>
        </w:tc>
        <w:tc>
          <w:tcPr>
            <w:tcW w:w="2159" w:type="dxa"/>
            <w:tcBorders>
              <w:left w:val="nil"/>
              <w:bottom w:val="nil"/>
              <w:right w:val="nil"/>
            </w:tcBorders>
          </w:tcPr>
          <w:p w14:paraId="60EE2B6E" w14:textId="0627BC1E" w:rsidR="005B49D7" w:rsidRPr="00DA1989" w:rsidRDefault="0051198F" w:rsidP="00BD0A0C">
            <w:pPr>
              <w:spacing w:after="120"/>
              <w:rPr>
                <w:b/>
                <w:bCs/>
              </w:rPr>
            </w:pPr>
            <w:r w:rsidRPr="00DA1989">
              <w:rPr>
                <w:b/>
                <w:bCs/>
              </w:rPr>
              <w:t>262m</w:t>
            </w:r>
          </w:p>
        </w:tc>
        <w:tc>
          <w:tcPr>
            <w:tcW w:w="2338" w:type="dxa"/>
            <w:tcBorders>
              <w:left w:val="nil"/>
              <w:bottom w:val="nil"/>
              <w:right w:val="nil"/>
            </w:tcBorders>
          </w:tcPr>
          <w:p w14:paraId="2C0517CB" w14:textId="54EC08B8" w:rsidR="005B49D7" w:rsidRPr="00DA1989" w:rsidRDefault="009746FB" w:rsidP="00BD0A0C">
            <w:pPr>
              <w:spacing w:after="120"/>
              <w:rPr>
                <w:b/>
                <w:bCs/>
              </w:rPr>
            </w:pPr>
            <w:r w:rsidRPr="00DA1989">
              <w:rPr>
                <w:b/>
                <w:bCs/>
              </w:rPr>
              <w:t>239–285m</w:t>
            </w:r>
          </w:p>
        </w:tc>
        <w:tc>
          <w:tcPr>
            <w:tcW w:w="2338" w:type="dxa"/>
            <w:tcBorders>
              <w:left w:val="nil"/>
              <w:bottom w:val="nil"/>
              <w:right w:val="nil"/>
            </w:tcBorders>
          </w:tcPr>
          <w:p w14:paraId="5A6E91BF" w14:textId="6414386A" w:rsidR="005B49D7" w:rsidRPr="00DA1989" w:rsidRDefault="00AD67F8" w:rsidP="00BD0A0C">
            <w:pPr>
              <w:spacing w:after="120"/>
              <w:rPr>
                <w:b/>
                <w:bCs/>
              </w:rPr>
            </w:pPr>
            <w:r w:rsidRPr="00DA1989">
              <w:rPr>
                <w:b/>
                <w:bCs/>
              </w:rPr>
              <w:t>195–332m</w:t>
            </w:r>
          </w:p>
        </w:tc>
      </w:tr>
      <w:tr w:rsidR="00F14154" w14:paraId="66822F00" w14:textId="77777777" w:rsidTr="00D47E9B">
        <w:tc>
          <w:tcPr>
            <w:tcW w:w="2515" w:type="dxa"/>
            <w:tcBorders>
              <w:top w:val="nil"/>
              <w:left w:val="nil"/>
              <w:bottom w:val="nil"/>
              <w:right w:val="nil"/>
            </w:tcBorders>
          </w:tcPr>
          <w:p w14:paraId="07C0E5E9" w14:textId="61FCC87F" w:rsidR="00F14154" w:rsidRPr="00F14154" w:rsidRDefault="00F14154" w:rsidP="00BD0A0C">
            <w:pPr>
              <w:spacing w:after="120"/>
              <w:rPr>
                <w:i/>
                <w:iCs/>
              </w:rPr>
            </w:pPr>
            <w:r>
              <w:rPr>
                <w:i/>
                <w:iCs/>
              </w:rPr>
              <w:t xml:space="preserve">   </w:t>
            </w:r>
            <w:r w:rsidR="00BA52D1">
              <w:rPr>
                <w:i/>
                <w:iCs/>
              </w:rPr>
              <w:t xml:space="preserve"> </w:t>
            </w:r>
            <w:r>
              <w:rPr>
                <w:i/>
                <w:iCs/>
              </w:rPr>
              <w:t>Fall</w:t>
            </w:r>
          </w:p>
        </w:tc>
        <w:tc>
          <w:tcPr>
            <w:tcW w:w="2159" w:type="dxa"/>
            <w:tcBorders>
              <w:top w:val="nil"/>
              <w:left w:val="nil"/>
              <w:bottom w:val="nil"/>
              <w:right w:val="nil"/>
            </w:tcBorders>
          </w:tcPr>
          <w:p w14:paraId="0E40CF0C" w14:textId="3BD90E4E" w:rsidR="00F14154" w:rsidRPr="00DA1989" w:rsidRDefault="003E4DF1" w:rsidP="00BD0A0C">
            <w:pPr>
              <w:spacing w:after="120"/>
            </w:pPr>
            <w:r w:rsidRPr="00DA1989">
              <w:t>225m</w:t>
            </w:r>
          </w:p>
        </w:tc>
        <w:tc>
          <w:tcPr>
            <w:tcW w:w="2338" w:type="dxa"/>
            <w:tcBorders>
              <w:top w:val="nil"/>
              <w:left w:val="nil"/>
              <w:bottom w:val="nil"/>
              <w:right w:val="nil"/>
            </w:tcBorders>
          </w:tcPr>
          <w:p w14:paraId="6753CA10" w14:textId="23F397DF" w:rsidR="00F14154" w:rsidRPr="00DA1989" w:rsidRDefault="00CF63D8" w:rsidP="00BD0A0C">
            <w:pPr>
              <w:spacing w:after="120"/>
            </w:pPr>
            <w:r w:rsidRPr="00DA1989">
              <w:t>196–252m</w:t>
            </w:r>
          </w:p>
        </w:tc>
        <w:tc>
          <w:tcPr>
            <w:tcW w:w="2338" w:type="dxa"/>
            <w:tcBorders>
              <w:top w:val="nil"/>
              <w:left w:val="nil"/>
              <w:bottom w:val="nil"/>
              <w:right w:val="nil"/>
            </w:tcBorders>
          </w:tcPr>
          <w:p w14:paraId="147BA553" w14:textId="0CBB394A" w:rsidR="00F14154" w:rsidRPr="00DA1989" w:rsidRDefault="00CB0B69" w:rsidP="00BD0A0C">
            <w:pPr>
              <w:spacing w:after="120"/>
            </w:pPr>
            <w:r w:rsidRPr="00DA1989">
              <w:t>148–312m</w:t>
            </w:r>
          </w:p>
        </w:tc>
      </w:tr>
      <w:tr w:rsidR="00F14154" w14:paraId="7AC626A1" w14:textId="77777777" w:rsidTr="00D47E9B">
        <w:tc>
          <w:tcPr>
            <w:tcW w:w="2515" w:type="dxa"/>
            <w:tcBorders>
              <w:top w:val="nil"/>
              <w:left w:val="nil"/>
              <w:bottom w:val="nil"/>
              <w:right w:val="nil"/>
            </w:tcBorders>
          </w:tcPr>
          <w:p w14:paraId="3DF9491F" w14:textId="5850A8AA" w:rsidR="00F14154" w:rsidRPr="00BA52D1" w:rsidRDefault="00BA52D1" w:rsidP="00BD0A0C">
            <w:pPr>
              <w:spacing w:after="120"/>
              <w:rPr>
                <w:i/>
                <w:iCs/>
              </w:rPr>
            </w:pPr>
            <w:r>
              <w:t xml:space="preserve">    </w:t>
            </w:r>
            <w:r>
              <w:rPr>
                <w:i/>
                <w:iCs/>
              </w:rPr>
              <w:t>Spring</w:t>
            </w:r>
          </w:p>
        </w:tc>
        <w:tc>
          <w:tcPr>
            <w:tcW w:w="2159" w:type="dxa"/>
            <w:tcBorders>
              <w:top w:val="nil"/>
              <w:left w:val="nil"/>
              <w:bottom w:val="nil"/>
              <w:right w:val="nil"/>
            </w:tcBorders>
          </w:tcPr>
          <w:p w14:paraId="1F771257" w14:textId="3E16F985" w:rsidR="00F14154" w:rsidRPr="00DA1989" w:rsidRDefault="00005E45" w:rsidP="00BD0A0C">
            <w:pPr>
              <w:spacing w:after="120"/>
            </w:pPr>
            <w:r w:rsidRPr="00DA1989">
              <w:t>319m</w:t>
            </w:r>
          </w:p>
        </w:tc>
        <w:tc>
          <w:tcPr>
            <w:tcW w:w="2338" w:type="dxa"/>
            <w:tcBorders>
              <w:top w:val="nil"/>
              <w:left w:val="nil"/>
              <w:bottom w:val="nil"/>
              <w:right w:val="nil"/>
            </w:tcBorders>
          </w:tcPr>
          <w:p w14:paraId="3607528C" w14:textId="14F09904" w:rsidR="00F14154" w:rsidRPr="00DA1989" w:rsidRDefault="007568D5" w:rsidP="00BD0A0C">
            <w:pPr>
              <w:spacing w:after="120"/>
            </w:pPr>
            <w:r w:rsidRPr="00DA1989">
              <w:t>282–355m</w:t>
            </w:r>
          </w:p>
        </w:tc>
        <w:tc>
          <w:tcPr>
            <w:tcW w:w="2338" w:type="dxa"/>
            <w:tcBorders>
              <w:top w:val="nil"/>
              <w:left w:val="nil"/>
              <w:bottom w:val="nil"/>
              <w:right w:val="nil"/>
            </w:tcBorders>
          </w:tcPr>
          <w:p w14:paraId="51F68E83" w14:textId="06B38285" w:rsidR="00F14154" w:rsidRPr="00DA1989" w:rsidRDefault="007B2DA9" w:rsidP="00BD0A0C">
            <w:pPr>
              <w:spacing w:after="120"/>
            </w:pPr>
            <w:r w:rsidRPr="00DA1989">
              <w:t>216–427m</w:t>
            </w:r>
          </w:p>
        </w:tc>
      </w:tr>
      <w:tr w:rsidR="00BA52D1" w14:paraId="67376858" w14:textId="77777777" w:rsidTr="00D47E9B">
        <w:tc>
          <w:tcPr>
            <w:tcW w:w="2515" w:type="dxa"/>
            <w:tcBorders>
              <w:top w:val="nil"/>
              <w:left w:val="nil"/>
              <w:bottom w:val="nil"/>
              <w:right w:val="nil"/>
            </w:tcBorders>
          </w:tcPr>
          <w:p w14:paraId="58DC61CB" w14:textId="21161D34" w:rsidR="00BA52D1" w:rsidRPr="00BA52D1" w:rsidRDefault="00BA52D1" w:rsidP="00BD0A0C">
            <w:pPr>
              <w:spacing w:after="120"/>
              <w:rPr>
                <w:i/>
                <w:iCs/>
              </w:rPr>
            </w:pPr>
            <w:r>
              <w:t xml:space="preserve">    </w:t>
            </w:r>
            <w:r>
              <w:rPr>
                <w:i/>
                <w:iCs/>
              </w:rPr>
              <w:t>Adult</w:t>
            </w:r>
          </w:p>
        </w:tc>
        <w:tc>
          <w:tcPr>
            <w:tcW w:w="2159" w:type="dxa"/>
            <w:tcBorders>
              <w:top w:val="nil"/>
              <w:left w:val="nil"/>
              <w:bottom w:val="nil"/>
              <w:right w:val="nil"/>
            </w:tcBorders>
          </w:tcPr>
          <w:p w14:paraId="19A0886F" w14:textId="525073A6" w:rsidR="00BA52D1" w:rsidRDefault="00342DE8" w:rsidP="00BD0A0C">
            <w:pPr>
              <w:spacing w:after="120"/>
            </w:pPr>
            <w:r>
              <w:t>294m</w:t>
            </w:r>
          </w:p>
        </w:tc>
        <w:tc>
          <w:tcPr>
            <w:tcW w:w="2338" w:type="dxa"/>
            <w:tcBorders>
              <w:top w:val="nil"/>
              <w:left w:val="nil"/>
              <w:bottom w:val="nil"/>
              <w:right w:val="nil"/>
            </w:tcBorders>
          </w:tcPr>
          <w:p w14:paraId="3E9EBC14" w14:textId="79EE9B16" w:rsidR="00BA52D1" w:rsidRDefault="00A53F71" w:rsidP="00BD0A0C">
            <w:pPr>
              <w:spacing w:after="120"/>
            </w:pPr>
            <w:r>
              <w:t>254–333m</w:t>
            </w:r>
          </w:p>
        </w:tc>
        <w:tc>
          <w:tcPr>
            <w:tcW w:w="2338" w:type="dxa"/>
            <w:tcBorders>
              <w:top w:val="nil"/>
              <w:left w:val="nil"/>
              <w:bottom w:val="nil"/>
              <w:right w:val="nil"/>
            </w:tcBorders>
          </w:tcPr>
          <w:p w14:paraId="6AA2161E" w14:textId="4A2F194E" w:rsidR="00BA52D1" w:rsidRDefault="001D4E66" w:rsidP="00BD0A0C">
            <w:pPr>
              <w:spacing w:after="120"/>
            </w:pPr>
            <w:r>
              <w:t>185–408m</w:t>
            </w:r>
          </w:p>
        </w:tc>
      </w:tr>
      <w:tr w:rsidR="00BA52D1" w14:paraId="096632BC" w14:textId="77777777" w:rsidTr="00D47E9B">
        <w:tc>
          <w:tcPr>
            <w:tcW w:w="2515" w:type="dxa"/>
            <w:tcBorders>
              <w:top w:val="nil"/>
              <w:left w:val="nil"/>
              <w:bottom w:val="nil"/>
              <w:right w:val="nil"/>
            </w:tcBorders>
          </w:tcPr>
          <w:p w14:paraId="65C4A414" w14:textId="2FB9C71B" w:rsidR="00BA52D1" w:rsidRPr="00BA52D1" w:rsidRDefault="00BA52D1" w:rsidP="00BD0A0C">
            <w:pPr>
              <w:spacing w:after="120"/>
              <w:rPr>
                <w:i/>
                <w:iCs/>
              </w:rPr>
            </w:pPr>
            <w:r>
              <w:t xml:space="preserve">    </w:t>
            </w:r>
            <w:r>
              <w:rPr>
                <w:i/>
                <w:iCs/>
              </w:rPr>
              <w:t>Juvenile</w:t>
            </w:r>
          </w:p>
        </w:tc>
        <w:tc>
          <w:tcPr>
            <w:tcW w:w="2159" w:type="dxa"/>
            <w:tcBorders>
              <w:top w:val="nil"/>
              <w:left w:val="nil"/>
              <w:bottom w:val="nil"/>
              <w:right w:val="nil"/>
            </w:tcBorders>
          </w:tcPr>
          <w:p w14:paraId="43D7780B" w14:textId="4E571542" w:rsidR="00BA52D1" w:rsidRDefault="00E0552E" w:rsidP="00BD0A0C">
            <w:pPr>
              <w:spacing w:after="120"/>
            </w:pPr>
            <w:r>
              <w:t>260m</w:t>
            </w:r>
          </w:p>
        </w:tc>
        <w:tc>
          <w:tcPr>
            <w:tcW w:w="2338" w:type="dxa"/>
            <w:tcBorders>
              <w:top w:val="nil"/>
              <w:left w:val="nil"/>
              <w:bottom w:val="nil"/>
              <w:right w:val="nil"/>
            </w:tcBorders>
          </w:tcPr>
          <w:p w14:paraId="3C252399" w14:textId="79FCC799" w:rsidR="00BA52D1" w:rsidRDefault="00FA73D8" w:rsidP="00BD0A0C">
            <w:pPr>
              <w:spacing w:after="120"/>
            </w:pPr>
            <w:r>
              <w:t>231–288m</w:t>
            </w:r>
          </w:p>
        </w:tc>
        <w:tc>
          <w:tcPr>
            <w:tcW w:w="2338" w:type="dxa"/>
            <w:tcBorders>
              <w:top w:val="nil"/>
              <w:left w:val="nil"/>
              <w:bottom w:val="nil"/>
              <w:right w:val="nil"/>
            </w:tcBorders>
          </w:tcPr>
          <w:p w14:paraId="77D38A1B" w14:textId="4CDA59C5" w:rsidR="00BA52D1" w:rsidRDefault="00D82BB7" w:rsidP="00BD0A0C">
            <w:pPr>
              <w:spacing w:after="120"/>
            </w:pPr>
            <w:r>
              <w:t>182–345m</w:t>
            </w:r>
          </w:p>
        </w:tc>
      </w:tr>
      <w:tr w:rsidR="005B49D7" w14:paraId="0388CC19" w14:textId="77777777" w:rsidTr="00D47E9B">
        <w:tc>
          <w:tcPr>
            <w:tcW w:w="2515" w:type="dxa"/>
            <w:tcBorders>
              <w:top w:val="nil"/>
              <w:left w:val="nil"/>
              <w:bottom w:val="nil"/>
              <w:right w:val="nil"/>
            </w:tcBorders>
          </w:tcPr>
          <w:p w14:paraId="76B37A4B" w14:textId="3F882A58" w:rsidR="005B49D7" w:rsidRPr="00BC43FC" w:rsidRDefault="00A43331" w:rsidP="00BD0A0C">
            <w:pPr>
              <w:spacing w:after="120"/>
              <w:rPr>
                <w:b/>
                <w:bCs/>
              </w:rPr>
            </w:pPr>
            <w:r w:rsidRPr="00BC43FC">
              <w:rPr>
                <w:b/>
                <w:bCs/>
              </w:rPr>
              <w:t>Mean Flight Altitude</w:t>
            </w:r>
          </w:p>
        </w:tc>
        <w:tc>
          <w:tcPr>
            <w:tcW w:w="2159" w:type="dxa"/>
            <w:tcBorders>
              <w:top w:val="nil"/>
              <w:left w:val="nil"/>
              <w:bottom w:val="nil"/>
              <w:right w:val="nil"/>
            </w:tcBorders>
          </w:tcPr>
          <w:p w14:paraId="5E678661" w14:textId="349FB1D0" w:rsidR="005B49D7" w:rsidRPr="00BC43FC" w:rsidRDefault="00715E7E" w:rsidP="00BD0A0C">
            <w:pPr>
              <w:spacing w:after="120"/>
              <w:rPr>
                <w:b/>
                <w:bCs/>
              </w:rPr>
            </w:pPr>
            <w:r w:rsidRPr="00BC43FC">
              <w:rPr>
                <w:b/>
                <w:bCs/>
              </w:rPr>
              <w:t>364m</w:t>
            </w:r>
          </w:p>
        </w:tc>
        <w:tc>
          <w:tcPr>
            <w:tcW w:w="2338" w:type="dxa"/>
            <w:tcBorders>
              <w:top w:val="nil"/>
              <w:left w:val="nil"/>
              <w:bottom w:val="nil"/>
              <w:right w:val="nil"/>
            </w:tcBorders>
          </w:tcPr>
          <w:p w14:paraId="449B303F" w14:textId="57BD1631" w:rsidR="005B49D7" w:rsidRPr="00BC43FC" w:rsidRDefault="00E11FFB" w:rsidP="00BD0A0C">
            <w:pPr>
              <w:spacing w:after="120"/>
              <w:rPr>
                <w:b/>
                <w:bCs/>
              </w:rPr>
            </w:pPr>
            <w:r w:rsidRPr="00BC43FC">
              <w:rPr>
                <w:b/>
                <w:bCs/>
              </w:rPr>
              <w:t>341–386m</w:t>
            </w:r>
          </w:p>
        </w:tc>
        <w:tc>
          <w:tcPr>
            <w:tcW w:w="2338" w:type="dxa"/>
            <w:tcBorders>
              <w:top w:val="nil"/>
              <w:left w:val="nil"/>
              <w:bottom w:val="nil"/>
              <w:right w:val="nil"/>
            </w:tcBorders>
          </w:tcPr>
          <w:p w14:paraId="1096C824" w14:textId="04BBDDE1" w:rsidR="005B49D7" w:rsidRPr="00BC43FC" w:rsidRDefault="00D80132" w:rsidP="00BD0A0C">
            <w:pPr>
              <w:spacing w:after="120"/>
              <w:rPr>
                <w:b/>
                <w:bCs/>
              </w:rPr>
            </w:pPr>
            <w:r w:rsidRPr="00BC43FC">
              <w:rPr>
                <w:b/>
                <w:bCs/>
              </w:rPr>
              <w:t>300–432m</w:t>
            </w:r>
          </w:p>
        </w:tc>
      </w:tr>
      <w:tr w:rsidR="00BA52D1" w14:paraId="0C66C010" w14:textId="77777777" w:rsidTr="00D47E9B">
        <w:tc>
          <w:tcPr>
            <w:tcW w:w="2515" w:type="dxa"/>
            <w:tcBorders>
              <w:top w:val="nil"/>
              <w:left w:val="nil"/>
              <w:bottom w:val="nil"/>
              <w:right w:val="nil"/>
            </w:tcBorders>
          </w:tcPr>
          <w:p w14:paraId="320A8558" w14:textId="0382D2A9" w:rsidR="00BA52D1" w:rsidRDefault="00BA52D1" w:rsidP="00BD0A0C">
            <w:pPr>
              <w:spacing w:after="120"/>
            </w:pPr>
            <w:r>
              <w:rPr>
                <w:i/>
                <w:iCs/>
              </w:rPr>
              <w:t xml:space="preserve">    Fall</w:t>
            </w:r>
          </w:p>
        </w:tc>
        <w:tc>
          <w:tcPr>
            <w:tcW w:w="2159" w:type="dxa"/>
            <w:tcBorders>
              <w:top w:val="nil"/>
              <w:left w:val="nil"/>
              <w:bottom w:val="nil"/>
              <w:right w:val="nil"/>
            </w:tcBorders>
          </w:tcPr>
          <w:p w14:paraId="58AA4587" w14:textId="40DEA61C" w:rsidR="00BA52D1" w:rsidRDefault="00EA4EAA" w:rsidP="00BD0A0C">
            <w:pPr>
              <w:spacing w:after="120"/>
            </w:pPr>
            <w:r>
              <w:t>312m</w:t>
            </w:r>
          </w:p>
        </w:tc>
        <w:tc>
          <w:tcPr>
            <w:tcW w:w="2338" w:type="dxa"/>
            <w:tcBorders>
              <w:top w:val="nil"/>
              <w:left w:val="nil"/>
              <w:bottom w:val="nil"/>
              <w:right w:val="nil"/>
            </w:tcBorders>
          </w:tcPr>
          <w:p w14:paraId="173A2D9A" w14:textId="59A390E4" w:rsidR="00BA52D1" w:rsidRDefault="00184E5D" w:rsidP="00BD0A0C">
            <w:pPr>
              <w:spacing w:after="120"/>
            </w:pPr>
            <w:r>
              <w:t>284–338m</w:t>
            </w:r>
          </w:p>
        </w:tc>
        <w:tc>
          <w:tcPr>
            <w:tcW w:w="2338" w:type="dxa"/>
            <w:tcBorders>
              <w:top w:val="nil"/>
              <w:left w:val="nil"/>
              <w:bottom w:val="nil"/>
              <w:right w:val="nil"/>
            </w:tcBorders>
          </w:tcPr>
          <w:p w14:paraId="2DF43374" w14:textId="267B10DF" w:rsidR="00BA52D1" w:rsidRDefault="00FF7BFE" w:rsidP="00BD0A0C">
            <w:pPr>
              <w:spacing w:after="120"/>
            </w:pPr>
            <w:r>
              <w:t>239–398m</w:t>
            </w:r>
          </w:p>
        </w:tc>
      </w:tr>
      <w:tr w:rsidR="00BA52D1" w14:paraId="2A6C7092" w14:textId="77777777" w:rsidTr="00D47E9B">
        <w:tc>
          <w:tcPr>
            <w:tcW w:w="2515" w:type="dxa"/>
            <w:tcBorders>
              <w:top w:val="nil"/>
              <w:left w:val="nil"/>
              <w:bottom w:val="nil"/>
              <w:right w:val="nil"/>
            </w:tcBorders>
          </w:tcPr>
          <w:p w14:paraId="1C29BDD0" w14:textId="4CD8440F" w:rsidR="00BA52D1" w:rsidRDefault="00BA52D1" w:rsidP="00BD0A0C">
            <w:pPr>
              <w:spacing w:after="120"/>
            </w:pPr>
            <w:r>
              <w:t xml:space="preserve">    </w:t>
            </w:r>
            <w:r>
              <w:rPr>
                <w:i/>
                <w:iCs/>
              </w:rPr>
              <w:t>Spring</w:t>
            </w:r>
          </w:p>
        </w:tc>
        <w:tc>
          <w:tcPr>
            <w:tcW w:w="2159" w:type="dxa"/>
            <w:tcBorders>
              <w:top w:val="nil"/>
              <w:left w:val="nil"/>
              <w:bottom w:val="nil"/>
              <w:right w:val="nil"/>
            </w:tcBorders>
          </w:tcPr>
          <w:p w14:paraId="08638CC3" w14:textId="3B058AFE" w:rsidR="00BA52D1" w:rsidRDefault="00993A5D" w:rsidP="00BD0A0C">
            <w:pPr>
              <w:spacing w:after="120"/>
            </w:pPr>
            <w:r>
              <w:t>428m</w:t>
            </w:r>
          </w:p>
        </w:tc>
        <w:tc>
          <w:tcPr>
            <w:tcW w:w="2338" w:type="dxa"/>
            <w:tcBorders>
              <w:top w:val="nil"/>
              <w:left w:val="nil"/>
              <w:bottom w:val="nil"/>
              <w:right w:val="nil"/>
            </w:tcBorders>
          </w:tcPr>
          <w:p w14:paraId="6E1BD128" w14:textId="092531F3" w:rsidR="00BA52D1" w:rsidRDefault="00A04705" w:rsidP="00BD0A0C">
            <w:pPr>
              <w:spacing w:after="120"/>
            </w:pPr>
            <w:r>
              <w:t>392–463m</w:t>
            </w:r>
          </w:p>
        </w:tc>
        <w:tc>
          <w:tcPr>
            <w:tcW w:w="2338" w:type="dxa"/>
            <w:tcBorders>
              <w:top w:val="nil"/>
              <w:left w:val="nil"/>
              <w:bottom w:val="nil"/>
              <w:right w:val="nil"/>
            </w:tcBorders>
          </w:tcPr>
          <w:p w14:paraId="3C33CDD6" w14:textId="0A02A114" w:rsidR="00BA52D1" w:rsidRDefault="001C5565" w:rsidP="00BD0A0C">
            <w:pPr>
              <w:spacing w:after="120"/>
            </w:pPr>
            <w:r>
              <w:t>326–539m</w:t>
            </w:r>
          </w:p>
        </w:tc>
      </w:tr>
      <w:tr w:rsidR="00BA52D1" w14:paraId="2C638EFC" w14:textId="77777777" w:rsidTr="00D47E9B">
        <w:tc>
          <w:tcPr>
            <w:tcW w:w="2515" w:type="dxa"/>
            <w:tcBorders>
              <w:top w:val="nil"/>
              <w:left w:val="nil"/>
              <w:bottom w:val="nil"/>
              <w:right w:val="nil"/>
            </w:tcBorders>
          </w:tcPr>
          <w:p w14:paraId="25D9651B" w14:textId="1FB7C2CD" w:rsidR="00BA52D1" w:rsidRDefault="00BA52D1" w:rsidP="00BD0A0C">
            <w:pPr>
              <w:spacing w:after="120"/>
            </w:pPr>
            <w:r>
              <w:t xml:space="preserve">    </w:t>
            </w:r>
            <w:r>
              <w:rPr>
                <w:i/>
                <w:iCs/>
              </w:rPr>
              <w:t>Adult</w:t>
            </w:r>
          </w:p>
        </w:tc>
        <w:tc>
          <w:tcPr>
            <w:tcW w:w="2159" w:type="dxa"/>
            <w:tcBorders>
              <w:top w:val="nil"/>
              <w:left w:val="nil"/>
              <w:bottom w:val="nil"/>
              <w:right w:val="nil"/>
            </w:tcBorders>
          </w:tcPr>
          <w:p w14:paraId="200879E1" w14:textId="0A8248E5" w:rsidR="00BA52D1" w:rsidRDefault="005E0E66" w:rsidP="00BD0A0C">
            <w:pPr>
              <w:spacing w:after="120"/>
            </w:pPr>
            <w:r>
              <w:t>400m</w:t>
            </w:r>
          </w:p>
        </w:tc>
        <w:tc>
          <w:tcPr>
            <w:tcW w:w="2338" w:type="dxa"/>
            <w:tcBorders>
              <w:top w:val="nil"/>
              <w:left w:val="nil"/>
              <w:bottom w:val="nil"/>
              <w:right w:val="nil"/>
            </w:tcBorders>
          </w:tcPr>
          <w:p w14:paraId="003861A4" w14:textId="2AFBFDAC" w:rsidR="00BA52D1" w:rsidRDefault="00AD4913" w:rsidP="00BD0A0C">
            <w:pPr>
              <w:spacing w:after="120"/>
            </w:pPr>
            <w:r>
              <w:t>360–437m</w:t>
            </w:r>
          </w:p>
        </w:tc>
        <w:tc>
          <w:tcPr>
            <w:tcW w:w="2338" w:type="dxa"/>
            <w:tcBorders>
              <w:top w:val="nil"/>
              <w:left w:val="nil"/>
              <w:bottom w:val="nil"/>
              <w:right w:val="nil"/>
            </w:tcBorders>
          </w:tcPr>
          <w:p w14:paraId="0E068D33" w14:textId="01431EDA" w:rsidR="00BA52D1" w:rsidRDefault="00206E0F" w:rsidP="00BD0A0C">
            <w:pPr>
              <w:spacing w:after="120"/>
            </w:pPr>
            <w:r>
              <w:t>301–516m</w:t>
            </w:r>
          </w:p>
        </w:tc>
      </w:tr>
      <w:tr w:rsidR="00BA52D1" w14:paraId="72C44286" w14:textId="77777777" w:rsidTr="00D47E9B">
        <w:tc>
          <w:tcPr>
            <w:tcW w:w="2515" w:type="dxa"/>
            <w:tcBorders>
              <w:top w:val="nil"/>
              <w:left w:val="nil"/>
              <w:bottom w:val="nil"/>
              <w:right w:val="nil"/>
            </w:tcBorders>
          </w:tcPr>
          <w:p w14:paraId="58403B2E" w14:textId="67B8F3A8" w:rsidR="00BA52D1" w:rsidRDefault="00BA52D1" w:rsidP="00BD0A0C">
            <w:pPr>
              <w:spacing w:after="120"/>
            </w:pPr>
            <w:r>
              <w:t xml:space="preserve">    </w:t>
            </w:r>
            <w:r>
              <w:rPr>
                <w:i/>
                <w:iCs/>
              </w:rPr>
              <w:t>Juvenile</w:t>
            </w:r>
          </w:p>
        </w:tc>
        <w:tc>
          <w:tcPr>
            <w:tcW w:w="2159" w:type="dxa"/>
            <w:tcBorders>
              <w:top w:val="nil"/>
              <w:left w:val="nil"/>
              <w:bottom w:val="nil"/>
              <w:right w:val="nil"/>
            </w:tcBorders>
          </w:tcPr>
          <w:p w14:paraId="332B3797" w14:textId="2CA3785C" w:rsidR="00BA52D1" w:rsidRDefault="00357182" w:rsidP="00BD0A0C">
            <w:pPr>
              <w:spacing w:after="120"/>
            </w:pPr>
            <w:r>
              <w:t>344m</w:t>
            </w:r>
          </w:p>
        </w:tc>
        <w:tc>
          <w:tcPr>
            <w:tcW w:w="2338" w:type="dxa"/>
            <w:tcBorders>
              <w:top w:val="nil"/>
              <w:left w:val="nil"/>
              <w:bottom w:val="nil"/>
              <w:right w:val="nil"/>
            </w:tcBorders>
          </w:tcPr>
          <w:p w14:paraId="1C007A91" w14:textId="4D3FA2FC" w:rsidR="00BA52D1" w:rsidRDefault="00E46029" w:rsidP="00BD0A0C">
            <w:pPr>
              <w:spacing w:after="120"/>
            </w:pPr>
            <w:r>
              <w:t>316–370m</w:t>
            </w:r>
          </w:p>
        </w:tc>
        <w:tc>
          <w:tcPr>
            <w:tcW w:w="2338" w:type="dxa"/>
            <w:tcBorders>
              <w:top w:val="nil"/>
              <w:left w:val="nil"/>
              <w:bottom w:val="nil"/>
              <w:right w:val="nil"/>
            </w:tcBorders>
          </w:tcPr>
          <w:p w14:paraId="596AD6EE" w14:textId="4742BEE1" w:rsidR="00BA52D1" w:rsidRDefault="00252E7D" w:rsidP="00BD0A0C">
            <w:pPr>
              <w:spacing w:after="120"/>
            </w:pPr>
            <w:r>
              <w:t>270–430m</w:t>
            </w:r>
          </w:p>
        </w:tc>
      </w:tr>
      <w:tr w:rsidR="00BA52D1" w14:paraId="14BA6A53" w14:textId="77777777" w:rsidTr="00D47E9B">
        <w:tc>
          <w:tcPr>
            <w:tcW w:w="2515" w:type="dxa"/>
            <w:tcBorders>
              <w:top w:val="nil"/>
              <w:left w:val="nil"/>
              <w:bottom w:val="nil"/>
              <w:right w:val="nil"/>
            </w:tcBorders>
          </w:tcPr>
          <w:p w14:paraId="547DCEFD" w14:textId="01BD0710" w:rsidR="00BA52D1" w:rsidRPr="00BC43FC" w:rsidRDefault="00E8222F" w:rsidP="00BD0A0C">
            <w:pPr>
              <w:spacing w:after="120"/>
              <w:rPr>
                <w:b/>
                <w:bCs/>
              </w:rPr>
            </w:pPr>
            <w:r w:rsidRPr="00BC43FC">
              <w:rPr>
                <w:b/>
                <w:bCs/>
              </w:rPr>
              <w:t xml:space="preserve">% of </w:t>
            </w:r>
            <w:r w:rsidR="00DE60FB" w:rsidRPr="00BC43FC">
              <w:rPr>
                <w:b/>
                <w:bCs/>
              </w:rPr>
              <w:t>observations below NEXRAD</w:t>
            </w:r>
            <w:r w:rsidR="008E2635" w:rsidRPr="00BC43FC">
              <w:rPr>
                <w:b/>
                <w:bCs/>
              </w:rPr>
              <w:t xml:space="preserve"> detection altitude</w:t>
            </w:r>
          </w:p>
        </w:tc>
        <w:tc>
          <w:tcPr>
            <w:tcW w:w="2159" w:type="dxa"/>
            <w:tcBorders>
              <w:top w:val="nil"/>
              <w:left w:val="nil"/>
              <w:bottom w:val="nil"/>
              <w:right w:val="nil"/>
            </w:tcBorders>
          </w:tcPr>
          <w:p w14:paraId="797A9327" w14:textId="22ABF80D" w:rsidR="00BA52D1" w:rsidRPr="00BC43FC" w:rsidRDefault="0024518C" w:rsidP="00BD0A0C">
            <w:pPr>
              <w:spacing w:after="120"/>
              <w:rPr>
                <w:b/>
                <w:bCs/>
              </w:rPr>
            </w:pPr>
            <w:r w:rsidRPr="00BC43FC">
              <w:rPr>
                <w:b/>
                <w:bCs/>
              </w:rPr>
              <w:t>33%</w:t>
            </w:r>
          </w:p>
        </w:tc>
        <w:tc>
          <w:tcPr>
            <w:tcW w:w="2338" w:type="dxa"/>
            <w:tcBorders>
              <w:top w:val="nil"/>
              <w:left w:val="nil"/>
              <w:bottom w:val="nil"/>
              <w:right w:val="nil"/>
            </w:tcBorders>
          </w:tcPr>
          <w:p w14:paraId="6E6C37CD" w14:textId="0CDC4A53" w:rsidR="00BA52D1" w:rsidRPr="00BC43FC" w:rsidRDefault="00386539" w:rsidP="00BD0A0C">
            <w:pPr>
              <w:spacing w:after="120"/>
              <w:rPr>
                <w:b/>
                <w:bCs/>
              </w:rPr>
            </w:pPr>
            <w:r w:rsidRPr="00BC43FC">
              <w:rPr>
                <w:b/>
                <w:bCs/>
              </w:rPr>
              <w:t>29–36</w:t>
            </w:r>
            <w:r w:rsidR="008070DF" w:rsidRPr="00BC43FC">
              <w:rPr>
                <w:b/>
                <w:bCs/>
              </w:rPr>
              <w:t>%</w:t>
            </w:r>
          </w:p>
        </w:tc>
        <w:tc>
          <w:tcPr>
            <w:tcW w:w="2338" w:type="dxa"/>
            <w:tcBorders>
              <w:top w:val="nil"/>
              <w:left w:val="nil"/>
              <w:bottom w:val="nil"/>
              <w:right w:val="nil"/>
            </w:tcBorders>
          </w:tcPr>
          <w:p w14:paraId="48A59E65" w14:textId="7A1C1429" w:rsidR="00BA52D1" w:rsidRPr="00BC43FC" w:rsidRDefault="008070DF" w:rsidP="00BD0A0C">
            <w:pPr>
              <w:spacing w:after="120"/>
              <w:rPr>
                <w:b/>
                <w:bCs/>
              </w:rPr>
            </w:pPr>
            <w:r w:rsidRPr="00BC43FC">
              <w:rPr>
                <w:b/>
                <w:bCs/>
              </w:rPr>
              <w:t>23–43%</w:t>
            </w:r>
          </w:p>
        </w:tc>
      </w:tr>
      <w:tr w:rsidR="008E2635" w14:paraId="477AA1B2" w14:textId="77777777" w:rsidTr="00D47E9B">
        <w:tc>
          <w:tcPr>
            <w:tcW w:w="2515" w:type="dxa"/>
            <w:tcBorders>
              <w:top w:val="nil"/>
              <w:left w:val="nil"/>
              <w:bottom w:val="nil"/>
              <w:right w:val="nil"/>
            </w:tcBorders>
          </w:tcPr>
          <w:p w14:paraId="45D049C8" w14:textId="005835BB" w:rsidR="008E2635" w:rsidRDefault="008E2635" w:rsidP="00BD0A0C">
            <w:pPr>
              <w:spacing w:after="120"/>
            </w:pPr>
            <w:r>
              <w:rPr>
                <w:i/>
                <w:iCs/>
              </w:rPr>
              <w:t xml:space="preserve">    Fall</w:t>
            </w:r>
          </w:p>
        </w:tc>
        <w:tc>
          <w:tcPr>
            <w:tcW w:w="2159" w:type="dxa"/>
            <w:tcBorders>
              <w:top w:val="nil"/>
              <w:left w:val="nil"/>
              <w:bottom w:val="nil"/>
              <w:right w:val="nil"/>
            </w:tcBorders>
          </w:tcPr>
          <w:p w14:paraId="62AB4C76" w14:textId="74F15564" w:rsidR="008E2635" w:rsidRDefault="00177B49" w:rsidP="00BD0A0C">
            <w:pPr>
              <w:spacing w:after="120"/>
            </w:pPr>
            <w:r>
              <w:t>37%</w:t>
            </w:r>
          </w:p>
        </w:tc>
        <w:tc>
          <w:tcPr>
            <w:tcW w:w="2338" w:type="dxa"/>
            <w:tcBorders>
              <w:top w:val="nil"/>
              <w:left w:val="nil"/>
              <w:bottom w:val="nil"/>
              <w:right w:val="nil"/>
            </w:tcBorders>
          </w:tcPr>
          <w:p w14:paraId="60A12FDE" w14:textId="62F90826" w:rsidR="008E2635" w:rsidRDefault="005020CB" w:rsidP="00BD0A0C">
            <w:pPr>
              <w:spacing w:after="120"/>
            </w:pPr>
            <w:r>
              <w:t>32–42%</w:t>
            </w:r>
          </w:p>
        </w:tc>
        <w:tc>
          <w:tcPr>
            <w:tcW w:w="2338" w:type="dxa"/>
            <w:tcBorders>
              <w:top w:val="nil"/>
              <w:left w:val="nil"/>
              <w:bottom w:val="nil"/>
              <w:right w:val="nil"/>
            </w:tcBorders>
          </w:tcPr>
          <w:p w14:paraId="22B65229" w14:textId="19251727" w:rsidR="008E2635" w:rsidRDefault="00F56846" w:rsidP="00BD0A0C">
            <w:pPr>
              <w:spacing w:after="120"/>
            </w:pPr>
            <w:r>
              <w:t>23–51%</w:t>
            </w:r>
          </w:p>
        </w:tc>
      </w:tr>
      <w:tr w:rsidR="008E2635" w14:paraId="12E053EF" w14:textId="77777777" w:rsidTr="00D47E9B">
        <w:tc>
          <w:tcPr>
            <w:tcW w:w="2515" w:type="dxa"/>
            <w:tcBorders>
              <w:top w:val="nil"/>
              <w:left w:val="nil"/>
              <w:bottom w:val="nil"/>
              <w:right w:val="nil"/>
            </w:tcBorders>
          </w:tcPr>
          <w:p w14:paraId="7CF59BDE" w14:textId="5311FE88" w:rsidR="008E2635" w:rsidRDefault="008E2635" w:rsidP="00BD0A0C">
            <w:pPr>
              <w:spacing w:after="120"/>
            </w:pPr>
            <w:r>
              <w:t xml:space="preserve">    </w:t>
            </w:r>
            <w:r>
              <w:rPr>
                <w:i/>
                <w:iCs/>
              </w:rPr>
              <w:t>Spring</w:t>
            </w:r>
          </w:p>
        </w:tc>
        <w:tc>
          <w:tcPr>
            <w:tcW w:w="2159" w:type="dxa"/>
            <w:tcBorders>
              <w:top w:val="nil"/>
              <w:left w:val="nil"/>
              <w:bottom w:val="nil"/>
              <w:right w:val="nil"/>
            </w:tcBorders>
          </w:tcPr>
          <w:p w14:paraId="75697CB2" w14:textId="6FA38FB3" w:rsidR="008E2635" w:rsidRDefault="005A0F48" w:rsidP="00BD0A0C">
            <w:pPr>
              <w:spacing w:after="120"/>
            </w:pPr>
            <w:r>
              <w:t>26%</w:t>
            </w:r>
          </w:p>
        </w:tc>
        <w:tc>
          <w:tcPr>
            <w:tcW w:w="2338" w:type="dxa"/>
            <w:tcBorders>
              <w:top w:val="nil"/>
              <w:left w:val="nil"/>
              <w:bottom w:val="nil"/>
              <w:right w:val="nil"/>
            </w:tcBorders>
          </w:tcPr>
          <w:p w14:paraId="6AE1ABFA" w14:textId="365C04F1" w:rsidR="008E2635" w:rsidRDefault="002F5AA7" w:rsidP="00BD0A0C">
            <w:pPr>
              <w:spacing w:after="120"/>
            </w:pPr>
            <w:r>
              <w:t>21–31%</w:t>
            </w:r>
          </w:p>
        </w:tc>
        <w:tc>
          <w:tcPr>
            <w:tcW w:w="2338" w:type="dxa"/>
            <w:tcBorders>
              <w:top w:val="nil"/>
              <w:left w:val="nil"/>
              <w:bottom w:val="nil"/>
              <w:right w:val="nil"/>
            </w:tcBorders>
          </w:tcPr>
          <w:p w14:paraId="6E8F84A3" w14:textId="4776011A" w:rsidR="008E2635" w:rsidRDefault="000103D8" w:rsidP="00BD0A0C">
            <w:pPr>
              <w:spacing w:after="120"/>
            </w:pPr>
            <w:r>
              <w:t>14–41%</w:t>
            </w:r>
          </w:p>
        </w:tc>
      </w:tr>
      <w:tr w:rsidR="008E2635" w14:paraId="62A75C61" w14:textId="77777777" w:rsidTr="00D47E9B">
        <w:tc>
          <w:tcPr>
            <w:tcW w:w="2515" w:type="dxa"/>
            <w:tcBorders>
              <w:top w:val="nil"/>
              <w:left w:val="nil"/>
              <w:bottom w:val="nil"/>
              <w:right w:val="nil"/>
            </w:tcBorders>
          </w:tcPr>
          <w:p w14:paraId="42489821" w14:textId="745E78B4" w:rsidR="008E2635" w:rsidRDefault="008E2635" w:rsidP="00BD0A0C">
            <w:pPr>
              <w:spacing w:after="120"/>
            </w:pPr>
            <w:r>
              <w:t xml:space="preserve">    </w:t>
            </w:r>
            <w:r>
              <w:rPr>
                <w:i/>
                <w:iCs/>
              </w:rPr>
              <w:t>Adult</w:t>
            </w:r>
          </w:p>
        </w:tc>
        <w:tc>
          <w:tcPr>
            <w:tcW w:w="2159" w:type="dxa"/>
            <w:tcBorders>
              <w:top w:val="nil"/>
              <w:left w:val="nil"/>
              <w:bottom w:val="nil"/>
              <w:right w:val="nil"/>
            </w:tcBorders>
          </w:tcPr>
          <w:p w14:paraId="76010300" w14:textId="70246782" w:rsidR="008E2635" w:rsidRDefault="00CF6588" w:rsidP="00BD0A0C">
            <w:pPr>
              <w:spacing w:after="120"/>
            </w:pPr>
            <w:r>
              <w:t>29%</w:t>
            </w:r>
          </w:p>
        </w:tc>
        <w:tc>
          <w:tcPr>
            <w:tcW w:w="2338" w:type="dxa"/>
            <w:tcBorders>
              <w:top w:val="nil"/>
              <w:left w:val="nil"/>
              <w:bottom w:val="nil"/>
              <w:right w:val="nil"/>
            </w:tcBorders>
          </w:tcPr>
          <w:p w14:paraId="1FDD0F1D" w14:textId="2C5550F2" w:rsidR="008E2635" w:rsidRDefault="008E6945" w:rsidP="00BD0A0C">
            <w:pPr>
              <w:spacing w:after="120"/>
            </w:pPr>
            <w:r>
              <w:t>23–34%</w:t>
            </w:r>
          </w:p>
        </w:tc>
        <w:tc>
          <w:tcPr>
            <w:tcW w:w="2338" w:type="dxa"/>
            <w:tcBorders>
              <w:top w:val="nil"/>
              <w:left w:val="nil"/>
              <w:bottom w:val="nil"/>
              <w:right w:val="nil"/>
            </w:tcBorders>
          </w:tcPr>
          <w:p w14:paraId="7E99859A" w14:textId="700E2106" w:rsidR="008E2635" w:rsidRDefault="00221A06" w:rsidP="00BD0A0C">
            <w:pPr>
              <w:spacing w:after="120"/>
            </w:pPr>
            <w:r>
              <w:t>15–45%</w:t>
            </w:r>
          </w:p>
        </w:tc>
      </w:tr>
      <w:tr w:rsidR="008E2635" w14:paraId="60A27CF0" w14:textId="77777777" w:rsidTr="00D47E9B">
        <w:tc>
          <w:tcPr>
            <w:tcW w:w="2515" w:type="dxa"/>
            <w:tcBorders>
              <w:top w:val="nil"/>
              <w:left w:val="nil"/>
              <w:bottom w:val="nil"/>
              <w:right w:val="nil"/>
            </w:tcBorders>
          </w:tcPr>
          <w:p w14:paraId="673B7A81" w14:textId="67497CB0" w:rsidR="008E2635" w:rsidRDefault="008E2635" w:rsidP="00BD0A0C">
            <w:pPr>
              <w:spacing w:after="120"/>
            </w:pPr>
            <w:r>
              <w:t xml:space="preserve">    </w:t>
            </w:r>
            <w:r>
              <w:rPr>
                <w:i/>
                <w:iCs/>
              </w:rPr>
              <w:t>Juvenile</w:t>
            </w:r>
          </w:p>
        </w:tc>
        <w:tc>
          <w:tcPr>
            <w:tcW w:w="2159" w:type="dxa"/>
            <w:tcBorders>
              <w:top w:val="nil"/>
              <w:left w:val="nil"/>
              <w:bottom w:val="nil"/>
              <w:right w:val="nil"/>
            </w:tcBorders>
          </w:tcPr>
          <w:p w14:paraId="6FD7A377" w14:textId="49E38674" w:rsidR="008E2635" w:rsidRDefault="003D2EAE" w:rsidP="00BD0A0C">
            <w:pPr>
              <w:spacing w:after="120"/>
            </w:pPr>
            <w:r>
              <w:t>31%</w:t>
            </w:r>
          </w:p>
        </w:tc>
        <w:tc>
          <w:tcPr>
            <w:tcW w:w="2338" w:type="dxa"/>
            <w:tcBorders>
              <w:top w:val="nil"/>
              <w:left w:val="nil"/>
              <w:bottom w:val="nil"/>
              <w:right w:val="nil"/>
            </w:tcBorders>
          </w:tcPr>
          <w:p w14:paraId="3EA70F0E" w14:textId="335F4968" w:rsidR="008E2635" w:rsidRDefault="00A174E4" w:rsidP="00BD0A0C">
            <w:pPr>
              <w:spacing w:after="120"/>
            </w:pPr>
            <w:r>
              <w:t>26–36%</w:t>
            </w:r>
          </w:p>
        </w:tc>
        <w:tc>
          <w:tcPr>
            <w:tcW w:w="2338" w:type="dxa"/>
            <w:tcBorders>
              <w:top w:val="nil"/>
              <w:left w:val="nil"/>
              <w:bottom w:val="nil"/>
              <w:right w:val="nil"/>
            </w:tcBorders>
          </w:tcPr>
          <w:p w14:paraId="29F96B9F" w14:textId="03765A40" w:rsidR="008E2635" w:rsidRDefault="00774031" w:rsidP="00BD0A0C">
            <w:pPr>
              <w:spacing w:after="120"/>
            </w:pPr>
            <w:r>
              <w:t>18–45%</w:t>
            </w:r>
          </w:p>
        </w:tc>
      </w:tr>
      <w:tr w:rsidR="008E2635" w14:paraId="2023D926" w14:textId="77777777" w:rsidTr="00D47E9B">
        <w:tc>
          <w:tcPr>
            <w:tcW w:w="2515" w:type="dxa"/>
            <w:tcBorders>
              <w:top w:val="nil"/>
              <w:left w:val="nil"/>
              <w:bottom w:val="nil"/>
              <w:right w:val="nil"/>
            </w:tcBorders>
          </w:tcPr>
          <w:p w14:paraId="5E82AE84" w14:textId="75EAF9DA" w:rsidR="008E2635" w:rsidRPr="00BC43FC" w:rsidRDefault="00F87BAB" w:rsidP="00BD0A0C">
            <w:pPr>
              <w:spacing w:after="120"/>
              <w:rPr>
                <w:b/>
                <w:bCs/>
              </w:rPr>
            </w:pPr>
            <w:r w:rsidRPr="00BC43FC">
              <w:rPr>
                <w:b/>
                <w:bCs/>
              </w:rPr>
              <w:t xml:space="preserve">% of observations </w:t>
            </w:r>
            <w:r w:rsidR="00357080" w:rsidRPr="00BC43FC">
              <w:rPr>
                <w:b/>
                <w:bCs/>
              </w:rPr>
              <w:t>below height of</w:t>
            </w:r>
            <w:r w:rsidR="008927C3" w:rsidRPr="00BC43FC">
              <w:rPr>
                <w:b/>
                <w:bCs/>
              </w:rPr>
              <w:t xml:space="preserve"> low-rise buildings</w:t>
            </w:r>
            <w:r w:rsidR="00524F7A" w:rsidRPr="00BC43FC">
              <w:rPr>
                <w:b/>
                <w:bCs/>
              </w:rPr>
              <w:t xml:space="preserve"> (</w:t>
            </w:r>
            <w:r w:rsidR="00BD0A0C" w:rsidRPr="00BC43FC">
              <w:rPr>
                <w:b/>
                <w:bCs/>
              </w:rPr>
              <w:t>47m</w:t>
            </w:r>
            <w:r w:rsidR="00524F7A" w:rsidRPr="00BC43FC">
              <w:rPr>
                <w:b/>
                <w:bCs/>
              </w:rPr>
              <w:t>)</w:t>
            </w:r>
          </w:p>
        </w:tc>
        <w:tc>
          <w:tcPr>
            <w:tcW w:w="2159" w:type="dxa"/>
            <w:tcBorders>
              <w:top w:val="nil"/>
              <w:left w:val="nil"/>
              <w:bottom w:val="nil"/>
              <w:right w:val="nil"/>
            </w:tcBorders>
          </w:tcPr>
          <w:p w14:paraId="566DD744" w14:textId="2EFDBFEF" w:rsidR="008E2635" w:rsidRPr="00BC43FC" w:rsidRDefault="00807F59" w:rsidP="00BD0A0C">
            <w:pPr>
              <w:spacing w:after="120"/>
              <w:rPr>
                <w:b/>
                <w:bCs/>
              </w:rPr>
            </w:pPr>
            <w:r w:rsidRPr="00BC43FC">
              <w:rPr>
                <w:b/>
                <w:bCs/>
              </w:rPr>
              <w:t>10%</w:t>
            </w:r>
          </w:p>
        </w:tc>
        <w:tc>
          <w:tcPr>
            <w:tcW w:w="2338" w:type="dxa"/>
            <w:tcBorders>
              <w:top w:val="nil"/>
              <w:left w:val="nil"/>
              <w:bottom w:val="nil"/>
              <w:right w:val="nil"/>
            </w:tcBorders>
          </w:tcPr>
          <w:p w14:paraId="4EE83953" w14:textId="02000A2D" w:rsidR="008E2635" w:rsidRPr="00BC43FC" w:rsidRDefault="00602B22" w:rsidP="00BD0A0C">
            <w:pPr>
              <w:spacing w:after="120"/>
              <w:rPr>
                <w:b/>
                <w:bCs/>
              </w:rPr>
            </w:pPr>
            <w:r w:rsidRPr="00BC43FC">
              <w:rPr>
                <w:b/>
                <w:bCs/>
              </w:rPr>
              <w:t>8–13%</w:t>
            </w:r>
          </w:p>
        </w:tc>
        <w:tc>
          <w:tcPr>
            <w:tcW w:w="2338" w:type="dxa"/>
            <w:tcBorders>
              <w:top w:val="nil"/>
              <w:left w:val="nil"/>
              <w:bottom w:val="nil"/>
              <w:right w:val="nil"/>
            </w:tcBorders>
          </w:tcPr>
          <w:p w14:paraId="3DEBF507" w14:textId="6152AF7F" w:rsidR="008E2635" w:rsidRPr="00BC43FC" w:rsidRDefault="007965BE" w:rsidP="00BD0A0C">
            <w:pPr>
              <w:spacing w:after="120"/>
              <w:rPr>
                <w:b/>
                <w:bCs/>
              </w:rPr>
            </w:pPr>
            <w:r w:rsidRPr="00BC43FC">
              <w:rPr>
                <w:b/>
                <w:bCs/>
              </w:rPr>
              <w:t>4–19%</w:t>
            </w:r>
          </w:p>
        </w:tc>
      </w:tr>
      <w:tr w:rsidR="007F108C" w14:paraId="3F5274AF" w14:textId="77777777" w:rsidTr="00D47E9B">
        <w:tc>
          <w:tcPr>
            <w:tcW w:w="2515" w:type="dxa"/>
            <w:tcBorders>
              <w:top w:val="nil"/>
              <w:left w:val="nil"/>
              <w:bottom w:val="nil"/>
              <w:right w:val="nil"/>
            </w:tcBorders>
          </w:tcPr>
          <w:p w14:paraId="155128C1" w14:textId="40CB0EB5" w:rsidR="007F108C" w:rsidRDefault="007F108C" w:rsidP="00BD0A0C">
            <w:pPr>
              <w:spacing w:after="120"/>
            </w:pPr>
            <w:r>
              <w:rPr>
                <w:i/>
                <w:iCs/>
              </w:rPr>
              <w:t xml:space="preserve">    Fall</w:t>
            </w:r>
          </w:p>
        </w:tc>
        <w:tc>
          <w:tcPr>
            <w:tcW w:w="2159" w:type="dxa"/>
            <w:tcBorders>
              <w:top w:val="nil"/>
              <w:left w:val="nil"/>
              <w:bottom w:val="nil"/>
              <w:right w:val="nil"/>
            </w:tcBorders>
          </w:tcPr>
          <w:p w14:paraId="659525CA" w14:textId="733F0F57" w:rsidR="007F108C" w:rsidRDefault="0059321C" w:rsidP="00BD0A0C">
            <w:pPr>
              <w:spacing w:after="120"/>
            </w:pPr>
            <w:r>
              <w:t>12%</w:t>
            </w:r>
          </w:p>
        </w:tc>
        <w:tc>
          <w:tcPr>
            <w:tcW w:w="2338" w:type="dxa"/>
            <w:tcBorders>
              <w:top w:val="nil"/>
              <w:left w:val="nil"/>
              <w:bottom w:val="nil"/>
              <w:right w:val="nil"/>
            </w:tcBorders>
          </w:tcPr>
          <w:p w14:paraId="25D7A0A2" w14:textId="5910013F" w:rsidR="007F108C" w:rsidRDefault="00856935" w:rsidP="00BD0A0C">
            <w:pPr>
              <w:spacing w:after="120"/>
            </w:pPr>
            <w:r>
              <w:t>8–16%</w:t>
            </w:r>
          </w:p>
        </w:tc>
        <w:tc>
          <w:tcPr>
            <w:tcW w:w="2338" w:type="dxa"/>
            <w:tcBorders>
              <w:top w:val="nil"/>
              <w:left w:val="nil"/>
              <w:bottom w:val="nil"/>
              <w:right w:val="nil"/>
            </w:tcBorders>
          </w:tcPr>
          <w:p w14:paraId="5C3A300E" w14:textId="06E993F2" w:rsidR="007F108C" w:rsidRDefault="00F541AA" w:rsidP="00BD0A0C">
            <w:pPr>
              <w:spacing w:after="120"/>
            </w:pPr>
            <w:r>
              <w:t>4–25%</w:t>
            </w:r>
          </w:p>
        </w:tc>
      </w:tr>
      <w:tr w:rsidR="007F108C" w14:paraId="5B2491C3" w14:textId="77777777" w:rsidTr="00D47E9B">
        <w:tc>
          <w:tcPr>
            <w:tcW w:w="2515" w:type="dxa"/>
            <w:tcBorders>
              <w:top w:val="nil"/>
              <w:left w:val="nil"/>
              <w:bottom w:val="nil"/>
              <w:right w:val="nil"/>
            </w:tcBorders>
          </w:tcPr>
          <w:p w14:paraId="25C09E60" w14:textId="49001E5B" w:rsidR="007F108C" w:rsidRDefault="007F108C" w:rsidP="00BD0A0C">
            <w:pPr>
              <w:spacing w:after="120"/>
            </w:pPr>
            <w:r>
              <w:t xml:space="preserve">    </w:t>
            </w:r>
            <w:r>
              <w:rPr>
                <w:i/>
                <w:iCs/>
              </w:rPr>
              <w:t>Spring</w:t>
            </w:r>
          </w:p>
        </w:tc>
        <w:tc>
          <w:tcPr>
            <w:tcW w:w="2159" w:type="dxa"/>
            <w:tcBorders>
              <w:top w:val="nil"/>
              <w:left w:val="nil"/>
              <w:bottom w:val="nil"/>
              <w:right w:val="nil"/>
            </w:tcBorders>
          </w:tcPr>
          <w:p w14:paraId="69889D04" w14:textId="437DCB54" w:rsidR="007F108C" w:rsidRDefault="002B5B1D" w:rsidP="00BD0A0C">
            <w:pPr>
              <w:spacing w:after="120"/>
            </w:pPr>
            <w:r>
              <w:t>8%</w:t>
            </w:r>
          </w:p>
        </w:tc>
        <w:tc>
          <w:tcPr>
            <w:tcW w:w="2338" w:type="dxa"/>
            <w:tcBorders>
              <w:top w:val="nil"/>
              <w:left w:val="nil"/>
              <w:bottom w:val="nil"/>
              <w:right w:val="nil"/>
            </w:tcBorders>
          </w:tcPr>
          <w:p w14:paraId="38FCA1FB" w14:textId="04130601" w:rsidR="007F108C" w:rsidRDefault="00224299" w:rsidP="00BD0A0C">
            <w:pPr>
              <w:spacing w:after="120"/>
            </w:pPr>
            <w:r>
              <w:t>5–10%</w:t>
            </w:r>
          </w:p>
        </w:tc>
        <w:tc>
          <w:tcPr>
            <w:tcW w:w="2338" w:type="dxa"/>
            <w:tcBorders>
              <w:top w:val="nil"/>
              <w:left w:val="nil"/>
              <w:bottom w:val="nil"/>
              <w:right w:val="nil"/>
            </w:tcBorders>
          </w:tcPr>
          <w:p w14:paraId="4EDEF9DE" w14:textId="59C20614" w:rsidR="007F108C" w:rsidRDefault="00CA57ED" w:rsidP="00BD0A0C">
            <w:pPr>
              <w:spacing w:after="120"/>
            </w:pPr>
            <w:r>
              <w:t>2–18%</w:t>
            </w:r>
          </w:p>
        </w:tc>
      </w:tr>
      <w:tr w:rsidR="007F108C" w14:paraId="4A105AB9" w14:textId="77777777" w:rsidTr="00D47E9B">
        <w:tc>
          <w:tcPr>
            <w:tcW w:w="2515" w:type="dxa"/>
            <w:tcBorders>
              <w:top w:val="nil"/>
              <w:left w:val="nil"/>
              <w:bottom w:val="nil"/>
              <w:right w:val="nil"/>
            </w:tcBorders>
          </w:tcPr>
          <w:p w14:paraId="6E09873D" w14:textId="2499526A" w:rsidR="007F108C" w:rsidRDefault="007F108C" w:rsidP="00BD0A0C">
            <w:pPr>
              <w:spacing w:after="120"/>
            </w:pPr>
            <w:r>
              <w:t xml:space="preserve">    </w:t>
            </w:r>
            <w:r>
              <w:rPr>
                <w:i/>
                <w:iCs/>
              </w:rPr>
              <w:t>Adult</w:t>
            </w:r>
          </w:p>
        </w:tc>
        <w:tc>
          <w:tcPr>
            <w:tcW w:w="2159" w:type="dxa"/>
            <w:tcBorders>
              <w:top w:val="nil"/>
              <w:left w:val="nil"/>
              <w:bottom w:val="nil"/>
              <w:right w:val="nil"/>
            </w:tcBorders>
          </w:tcPr>
          <w:p w14:paraId="7E9625FE" w14:textId="00AACCBA" w:rsidR="007F108C" w:rsidRDefault="006A746B" w:rsidP="00BD0A0C">
            <w:pPr>
              <w:spacing w:after="120"/>
            </w:pPr>
            <w:r>
              <w:t>9%</w:t>
            </w:r>
          </w:p>
        </w:tc>
        <w:tc>
          <w:tcPr>
            <w:tcW w:w="2338" w:type="dxa"/>
            <w:tcBorders>
              <w:top w:val="nil"/>
              <w:left w:val="nil"/>
              <w:bottom w:val="nil"/>
              <w:right w:val="nil"/>
            </w:tcBorders>
          </w:tcPr>
          <w:p w14:paraId="613C84C5" w14:textId="2F0149D7" w:rsidR="007F108C" w:rsidRDefault="0099738E" w:rsidP="00BD0A0C">
            <w:pPr>
              <w:spacing w:after="120"/>
            </w:pPr>
            <w:r>
              <w:t>5–12%</w:t>
            </w:r>
          </w:p>
        </w:tc>
        <w:tc>
          <w:tcPr>
            <w:tcW w:w="2338" w:type="dxa"/>
            <w:tcBorders>
              <w:top w:val="nil"/>
              <w:left w:val="nil"/>
              <w:bottom w:val="nil"/>
              <w:right w:val="nil"/>
            </w:tcBorders>
          </w:tcPr>
          <w:p w14:paraId="69BE7160" w14:textId="2BCE4FCA" w:rsidR="007F108C" w:rsidRDefault="00274EA4" w:rsidP="00BD0A0C">
            <w:pPr>
              <w:spacing w:after="120"/>
            </w:pPr>
            <w:r>
              <w:t>2–22%</w:t>
            </w:r>
          </w:p>
        </w:tc>
      </w:tr>
      <w:tr w:rsidR="007F108C" w14:paraId="0E4F24FD" w14:textId="77777777" w:rsidTr="008F7579">
        <w:tc>
          <w:tcPr>
            <w:tcW w:w="2515" w:type="dxa"/>
            <w:tcBorders>
              <w:top w:val="nil"/>
              <w:left w:val="nil"/>
              <w:bottom w:val="nil"/>
              <w:right w:val="nil"/>
            </w:tcBorders>
          </w:tcPr>
          <w:p w14:paraId="091BB0CD" w14:textId="28FB7FAE" w:rsidR="007F108C" w:rsidRDefault="007F108C" w:rsidP="00BD0A0C">
            <w:pPr>
              <w:spacing w:after="120"/>
            </w:pPr>
            <w:r>
              <w:t xml:space="preserve">    </w:t>
            </w:r>
            <w:r>
              <w:rPr>
                <w:i/>
                <w:iCs/>
              </w:rPr>
              <w:t>Juvenile</w:t>
            </w:r>
          </w:p>
        </w:tc>
        <w:tc>
          <w:tcPr>
            <w:tcW w:w="2159" w:type="dxa"/>
            <w:tcBorders>
              <w:top w:val="nil"/>
              <w:left w:val="nil"/>
              <w:bottom w:val="nil"/>
              <w:right w:val="nil"/>
            </w:tcBorders>
          </w:tcPr>
          <w:p w14:paraId="065A5236" w14:textId="516CDAC9" w:rsidR="007F108C" w:rsidRDefault="004D6D56" w:rsidP="00BD0A0C">
            <w:pPr>
              <w:spacing w:after="120"/>
            </w:pPr>
            <w:r>
              <w:t>9%</w:t>
            </w:r>
          </w:p>
        </w:tc>
        <w:tc>
          <w:tcPr>
            <w:tcW w:w="2338" w:type="dxa"/>
            <w:tcBorders>
              <w:top w:val="nil"/>
              <w:left w:val="nil"/>
              <w:bottom w:val="nil"/>
              <w:right w:val="nil"/>
            </w:tcBorders>
          </w:tcPr>
          <w:p w14:paraId="52109BC3" w14:textId="76F6433C" w:rsidR="007F108C" w:rsidRDefault="00C33F73" w:rsidP="00BD0A0C">
            <w:pPr>
              <w:spacing w:after="120"/>
            </w:pPr>
            <w:r>
              <w:t>5–12%</w:t>
            </w:r>
          </w:p>
        </w:tc>
        <w:tc>
          <w:tcPr>
            <w:tcW w:w="2338" w:type="dxa"/>
            <w:tcBorders>
              <w:top w:val="nil"/>
              <w:left w:val="nil"/>
              <w:bottom w:val="nil"/>
              <w:right w:val="nil"/>
            </w:tcBorders>
          </w:tcPr>
          <w:p w14:paraId="62345FE1" w14:textId="7ADCEC7A" w:rsidR="007F108C" w:rsidRDefault="00881152" w:rsidP="00BD0A0C">
            <w:pPr>
              <w:spacing w:after="120"/>
            </w:pPr>
            <w:r>
              <w:t>2–19%</w:t>
            </w:r>
          </w:p>
        </w:tc>
      </w:tr>
      <w:tr w:rsidR="007F108C" w14:paraId="2070F2C2" w14:textId="77777777" w:rsidTr="008F7579">
        <w:tc>
          <w:tcPr>
            <w:tcW w:w="2515" w:type="dxa"/>
            <w:tcBorders>
              <w:top w:val="nil"/>
              <w:left w:val="nil"/>
              <w:bottom w:val="nil"/>
              <w:right w:val="nil"/>
            </w:tcBorders>
          </w:tcPr>
          <w:p w14:paraId="3F8AEE59" w14:textId="3B7D89B2" w:rsidR="007F108C" w:rsidRPr="00BC43FC" w:rsidRDefault="007F108C" w:rsidP="00BD0A0C">
            <w:pPr>
              <w:spacing w:after="120"/>
              <w:rPr>
                <w:b/>
                <w:bCs/>
              </w:rPr>
            </w:pPr>
            <w:r w:rsidRPr="00BC43FC">
              <w:rPr>
                <w:b/>
                <w:bCs/>
              </w:rPr>
              <w:t>% of observations within sweep of terrestrial wind turbines (</w:t>
            </w:r>
            <w:r w:rsidR="00DB683F" w:rsidRPr="00BC43FC">
              <w:rPr>
                <w:b/>
                <w:bCs/>
              </w:rPr>
              <w:t>32</w:t>
            </w:r>
            <w:r w:rsidRPr="00BC43FC">
              <w:rPr>
                <w:b/>
                <w:bCs/>
              </w:rPr>
              <w:t>–</w:t>
            </w:r>
            <w:r w:rsidR="00DB683F" w:rsidRPr="00BC43FC">
              <w:rPr>
                <w:b/>
                <w:bCs/>
              </w:rPr>
              <w:t>164</w:t>
            </w:r>
            <w:r w:rsidRPr="00BC43FC">
              <w:rPr>
                <w:b/>
                <w:bCs/>
              </w:rPr>
              <w:t>m)</w:t>
            </w:r>
          </w:p>
        </w:tc>
        <w:tc>
          <w:tcPr>
            <w:tcW w:w="2159" w:type="dxa"/>
            <w:tcBorders>
              <w:top w:val="nil"/>
              <w:left w:val="nil"/>
              <w:bottom w:val="nil"/>
              <w:right w:val="nil"/>
            </w:tcBorders>
          </w:tcPr>
          <w:p w14:paraId="4FE6A353" w14:textId="250E1304" w:rsidR="007F108C" w:rsidRPr="00BC43FC" w:rsidRDefault="00D63CF3" w:rsidP="00BD0A0C">
            <w:pPr>
              <w:spacing w:after="120"/>
              <w:rPr>
                <w:b/>
                <w:bCs/>
              </w:rPr>
            </w:pPr>
            <w:r w:rsidRPr="00BC43FC">
              <w:rPr>
                <w:b/>
                <w:bCs/>
              </w:rPr>
              <w:t>27%</w:t>
            </w:r>
          </w:p>
        </w:tc>
        <w:tc>
          <w:tcPr>
            <w:tcW w:w="2338" w:type="dxa"/>
            <w:tcBorders>
              <w:top w:val="nil"/>
              <w:left w:val="nil"/>
              <w:bottom w:val="nil"/>
              <w:right w:val="nil"/>
            </w:tcBorders>
          </w:tcPr>
          <w:p w14:paraId="5E147C92" w14:textId="3D0AFFDC" w:rsidR="007F108C" w:rsidRPr="00BC43FC" w:rsidRDefault="003A107D" w:rsidP="00BD0A0C">
            <w:pPr>
              <w:spacing w:after="120"/>
              <w:rPr>
                <w:b/>
                <w:bCs/>
              </w:rPr>
            </w:pPr>
            <w:r w:rsidRPr="00BC43FC">
              <w:rPr>
                <w:b/>
                <w:bCs/>
              </w:rPr>
              <w:t>25–29%</w:t>
            </w:r>
          </w:p>
        </w:tc>
        <w:tc>
          <w:tcPr>
            <w:tcW w:w="2338" w:type="dxa"/>
            <w:tcBorders>
              <w:top w:val="nil"/>
              <w:left w:val="nil"/>
              <w:bottom w:val="nil"/>
              <w:right w:val="nil"/>
            </w:tcBorders>
          </w:tcPr>
          <w:p w14:paraId="52FBC993" w14:textId="2A79D00C" w:rsidR="007F108C" w:rsidRPr="00BC43FC" w:rsidRDefault="00AA74BD" w:rsidP="00BD0A0C">
            <w:pPr>
              <w:spacing w:after="120"/>
              <w:rPr>
                <w:b/>
                <w:bCs/>
              </w:rPr>
            </w:pPr>
            <w:r w:rsidRPr="00BC43FC">
              <w:rPr>
                <w:b/>
                <w:bCs/>
              </w:rPr>
              <w:t>21–32%</w:t>
            </w:r>
          </w:p>
        </w:tc>
      </w:tr>
      <w:tr w:rsidR="00BD0A0C" w14:paraId="60C9A53C" w14:textId="77777777" w:rsidTr="008F7579">
        <w:tc>
          <w:tcPr>
            <w:tcW w:w="2515" w:type="dxa"/>
            <w:tcBorders>
              <w:top w:val="nil"/>
              <w:left w:val="nil"/>
              <w:bottom w:val="nil"/>
              <w:right w:val="nil"/>
            </w:tcBorders>
          </w:tcPr>
          <w:p w14:paraId="28387363" w14:textId="0D063630" w:rsidR="00BD0A0C" w:rsidRDefault="00BD0A0C" w:rsidP="00BD0A0C">
            <w:pPr>
              <w:spacing w:after="120"/>
            </w:pPr>
            <w:r>
              <w:rPr>
                <w:i/>
                <w:iCs/>
              </w:rPr>
              <w:t xml:space="preserve">    Fall</w:t>
            </w:r>
          </w:p>
        </w:tc>
        <w:tc>
          <w:tcPr>
            <w:tcW w:w="2159" w:type="dxa"/>
            <w:tcBorders>
              <w:top w:val="nil"/>
              <w:left w:val="nil"/>
              <w:bottom w:val="nil"/>
              <w:right w:val="nil"/>
            </w:tcBorders>
          </w:tcPr>
          <w:p w14:paraId="18AF5C0F" w14:textId="64ECC8DA" w:rsidR="00BD0A0C" w:rsidRDefault="008A3E1D" w:rsidP="00BD0A0C">
            <w:pPr>
              <w:spacing w:after="120"/>
            </w:pPr>
            <w:r>
              <w:t>30%</w:t>
            </w:r>
          </w:p>
        </w:tc>
        <w:tc>
          <w:tcPr>
            <w:tcW w:w="2338" w:type="dxa"/>
            <w:tcBorders>
              <w:top w:val="nil"/>
              <w:left w:val="nil"/>
              <w:bottom w:val="nil"/>
              <w:right w:val="nil"/>
            </w:tcBorders>
          </w:tcPr>
          <w:p w14:paraId="1A6B5CAE" w14:textId="533E84E9" w:rsidR="00BD0A0C" w:rsidRDefault="00DB4E94" w:rsidP="00BD0A0C">
            <w:pPr>
              <w:spacing w:after="120"/>
            </w:pPr>
            <w:r>
              <w:t>28–33%</w:t>
            </w:r>
          </w:p>
        </w:tc>
        <w:tc>
          <w:tcPr>
            <w:tcW w:w="2338" w:type="dxa"/>
            <w:tcBorders>
              <w:top w:val="nil"/>
              <w:left w:val="nil"/>
              <w:bottom w:val="nil"/>
              <w:right w:val="nil"/>
            </w:tcBorders>
          </w:tcPr>
          <w:p w14:paraId="23CF3FA7" w14:textId="6F7C5CA1" w:rsidR="00BD0A0C" w:rsidRDefault="00520561" w:rsidP="00BD0A0C">
            <w:pPr>
              <w:spacing w:after="120"/>
            </w:pPr>
            <w:r>
              <w:t>22–36%</w:t>
            </w:r>
          </w:p>
        </w:tc>
      </w:tr>
      <w:tr w:rsidR="00BD0A0C" w14:paraId="5A5E2D60" w14:textId="77777777" w:rsidTr="008F7579">
        <w:tc>
          <w:tcPr>
            <w:tcW w:w="2515" w:type="dxa"/>
            <w:tcBorders>
              <w:top w:val="nil"/>
              <w:left w:val="nil"/>
              <w:bottom w:val="nil"/>
              <w:right w:val="nil"/>
            </w:tcBorders>
          </w:tcPr>
          <w:p w14:paraId="42CEC900" w14:textId="425991E6"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1201D8C6" w14:textId="0D53BFA4" w:rsidR="00BD0A0C" w:rsidRDefault="00364EF6" w:rsidP="00BD0A0C">
            <w:pPr>
              <w:spacing w:after="120"/>
            </w:pPr>
            <w:r>
              <w:t>23%</w:t>
            </w:r>
          </w:p>
        </w:tc>
        <w:tc>
          <w:tcPr>
            <w:tcW w:w="2338" w:type="dxa"/>
            <w:tcBorders>
              <w:top w:val="nil"/>
              <w:left w:val="nil"/>
              <w:bottom w:val="nil"/>
              <w:right w:val="nil"/>
            </w:tcBorders>
          </w:tcPr>
          <w:p w14:paraId="6BE5DA40" w14:textId="7C12FF04" w:rsidR="00BD0A0C" w:rsidRDefault="00306007" w:rsidP="00BD0A0C">
            <w:pPr>
              <w:spacing w:after="120"/>
            </w:pPr>
            <w:r>
              <w:t>22–36%</w:t>
            </w:r>
          </w:p>
        </w:tc>
        <w:tc>
          <w:tcPr>
            <w:tcW w:w="2338" w:type="dxa"/>
            <w:tcBorders>
              <w:top w:val="nil"/>
              <w:left w:val="nil"/>
              <w:bottom w:val="nil"/>
              <w:right w:val="nil"/>
            </w:tcBorders>
          </w:tcPr>
          <w:p w14:paraId="6BF2BD89" w14:textId="679C75E3" w:rsidR="00BD0A0C" w:rsidRDefault="007B5626" w:rsidP="00BD0A0C">
            <w:pPr>
              <w:spacing w:after="120"/>
            </w:pPr>
            <w:r>
              <w:t>14–30%</w:t>
            </w:r>
          </w:p>
        </w:tc>
      </w:tr>
      <w:tr w:rsidR="00BD0A0C" w14:paraId="48EF954C" w14:textId="77777777" w:rsidTr="008F7579">
        <w:tc>
          <w:tcPr>
            <w:tcW w:w="2515" w:type="dxa"/>
            <w:tcBorders>
              <w:top w:val="nil"/>
              <w:left w:val="nil"/>
              <w:bottom w:val="nil"/>
              <w:right w:val="nil"/>
            </w:tcBorders>
          </w:tcPr>
          <w:p w14:paraId="213D54FD" w14:textId="013F02D2"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8F22B47" w14:textId="3D735839" w:rsidR="00BD0A0C" w:rsidRDefault="004A0997" w:rsidP="00BD0A0C">
            <w:pPr>
              <w:spacing w:after="120"/>
            </w:pPr>
            <w:r>
              <w:t>24%</w:t>
            </w:r>
          </w:p>
        </w:tc>
        <w:tc>
          <w:tcPr>
            <w:tcW w:w="2338" w:type="dxa"/>
            <w:tcBorders>
              <w:top w:val="nil"/>
              <w:left w:val="nil"/>
              <w:bottom w:val="nil"/>
              <w:right w:val="nil"/>
            </w:tcBorders>
          </w:tcPr>
          <w:p w14:paraId="0D731392" w14:textId="3493FC27" w:rsidR="00BD0A0C" w:rsidRDefault="00265C19" w:rsidP="00BD0A0C">
            <w:pPr>
              <w:spacing w:after="120"/>
            </w:pPr>
            <w:r>
              <w:t>21–27%</w:t>
            </w:r>
          </w:p>
        </w:tc>
        <w:tc>
          <w:tcPr>
            <w:tcW w:w="2338" w:type="dxa"/>
            <w:tcBorders>
              <w:top w:val="nil"/>
              <w:left w:val="nil"/>
              <w:bottom w:val="nil"/>
              <w:right w:val="nil"/>
            </w:tcBorders>
          </w:tcPr>
          <w:p w14:paraId="12C2742D" w14:textId="2B68CFC5" w:rsidR="00BD0A0C" w:rsidRDefault="00B24AB1" w:rsidP="00BD0A0C">
            <w:pPr>
              <w:spacing w:after="120"/>
            </w:pPr>
            <w:r>
              <w:t>15–31%</w:t>
            </w:r>
          </w:p>
        </w:tc>
      </w:tr>
      <w:tr w:rsidR="00BD0A0C" w14:paraId="6C45DECC" w14:textId="77777777" w:rsidTr="008F7579">
        <w:tc>
          <w:tcPr>
            <w:tcW w:w="2515" w:type="dxa"/>
            <w:tcBorders>
              <w:top w:val="nil"/>
              <w:left w:val="nil"/>
              <w:bottom w:val="nil"/>
              <w:right w:val="nil"/>
            </w:tcBorders>
          </w:tcPr>
          <w:p w14:paraId="7B2C8425" w14:textId="695BD2BB" w:rsidR="00BD0A0C" w:rsidRDefault="00BD0A0C" w:rsidP="00BD0A0C">
            <w:pPr>
              <w:spacing w:after="120"/>
            </w:pPr>
            <w:r>
              <w:t xml:space="preserve">    </w:t>
            </w:r>
            <w:r>
              <w:rPr>
                <w:i/>
                <w:iCs/>
              </w:rPr>
              <w:t>Juvenile</w:t>
            </w:r>
          </w:p>
        </w:tc>
        <w:tc>
          <w:tcPr>
            <w:tcW w:w="2159" w:type="dxa"/>
            <w:tcBorders>
              <w:top w:val="nil"/>
              <w:left w:val="nil"/>
              <w:bottom w:val="nil"/>
              <w:right w:val="nil"/>
            </w:tcBorders>
          </w:tcPr>
          <w:p w14:paraId="75D66CD5" w14:textId="3C1D4A0B" w:rsidR="00BD0A0C" w:rsidRDefault="00770F41" w:rsidP="00BD0A0C">
            <w:pPr>
              <w:spacing w:after="120"/>
            </w:pPr>
            <w:r>
              <w:t>27%</w:t>
            </w:r>
          </w:p>
        </w:tc>
        <w:tc>
          <w:tcPr>
            <w:tcW w:w="2338" w:type="dxa"/>
            <w:tcBorders>
              <w:top w:val="nil"/>
              <w:left w:val="nil"/>
              <w:bottom w:val="nil"/>
              <w:right w:val="nil"/>
            </w:tcBorders>
          </w:tcPr>
          <w:p w14:paraId="3E1A2F13" w14:textId="1A993804" w:rsidR="00BD0A0C" w:rsidRDefault="00852E29" w:rsidP="00BD0A0C">
            <w:pPr>
              <w:spacing w:after="120"/>
            </w:pPr>
            <w:r>
              <w:t>25–30%</w:t>
            </w:r>
          </w:p>
        </w:tc>
        <w:tc>
          <w:tcPr>
            <w:tcW w:w="2338" w:type="dxa"/>
            <w:tcBorders>
              <w:top w:val="nil"/>
              <w:left w:val="nil"/>
              <w:bottom w:val="nil"/>
              <w:right w:val="nil"/>
            </w:tcBorders>
          </w:tcPr>
          <w:p w14:paraId="0D8CC3F2" w14:textId="3C5D2D47" w:rsidR="00BD0A0C" w:rsidRDefault="00A02B41" w:rsidP="00BD0A0C">
            <w:pPr>
              <w:spacing w:after="120"/>
            </w:pPr>
            <w:r>
              <w:t>18–34%</w:t>
            </w:r>
          </w:p>
        </w:tc>
      </w:tr>
      <w:tr w:rsidR="00BD0A0C" w14:paraId="52697E6F" w14:textId="77777777" w:rsidTr="008F7579">
        <w:tc>
          <w:tcPr>
            <w:tcW w:w="2515" w:type="dxa"/>
            <w:tcBorders>
              <w:top w:val="nil"/>
              <w:left w:val="nil"/>
              <w:bottom w:val="nil"/>
              <w:right w:val="nil"/>
            </w:tcBorders>
          </w:tcPr>
          <w:p w14:paraId="7C4D044B" w14:textId="13A7C124" w:rsidR="00BD0A0C" w:rsidRPr="00BC43FC" w:rsidRDefault="00BD0A0C" w:rsidP="00BD0A0C">
            <w:pPr>
              <w:spacing w:after="120"/>
              <w:rPr>
                <w:b/>
                <w:bCs/>
              </w:rPr>
            </w:pPr>
            <w:r w:rsidRPr="00BC43FC">
              <w:rPr>
                <w:b/>
                <w:bCs/>
              </w:rPr>
              <w:t xml:space="preserve">% of observations below height of large </w:t>
            </w:r>
            <w:r w:rsidRPr="00BC43FC">
              <w:rPr>
                <w:b/>
                <w:bCs/>
              </w:rPr>
              <w:lastRenderedPageBreak/>
              <w:t>communication towers (244m)</w:t>
            </w:r>
          </w:p>
        </w:tc>
        <w:tc>
          <w:tcPr>
            <w:tcW w:w="2159" w:type="dxa"/>
            <w:tcBorders>
              <w:top w:val="nil"/>
              <w:left w:val="nil"/>
              <w:bottom w:val="nil"/>
              <w:right w:val="nil"/>
            </w:tcBorders>
          </w:tcPr>
          <w:p w14:paraId="31AAA935" w14:textId="1B934F51" w:rsidR="00BD0A0C" w:rsidRPr="00BC43FC" w:rsidRDefault="00F73298" w:rsidP="00BD0A0C">
            <w:pPr>
              <w:spacing w:after="120"/>
              <w:rPr>
                <w:b/>
                <w:bCs/>
              </w:rPr>
            </w:pPr>
            <w:r w:rsidRPr="00BC43FC">
              <w:rPr>
                <w:b/>
                <w:bCs/>
              </w:rPr>
              <w:lastRenderedPageBreak/>
              <w:t>47%</w:t>
            </w:r>
          </w:p>
        </w:tc>
        <w:tc>
          <w:tcPr>
            <w:tcW w:w="2338" w:type="dxa"/>
            <w:tcBorders>
              <w:top w:val="nil"/>
              <w:left w:val="nil"/>
              <w:bottom w:val="nil"/>
              <w:right w:val="nil"/>
            </w:tcBorders>
          </w:tcPr>
          <w:p w14:paraId="7B2A28BF" w14:textId="7B35B3C7" w:rsidR="00BD0A0C" w:rsidRPr="00BC43FC" w:rsidRDefault="00E93053" w:rsidP="00BD0A0C">
            <w:pPr>
              <w:spacing w:after="120"/>
              <w:rPr>
                <w:b/>
                <w:bCs/>
              </w:rPr>
            </w:pPr>
            <w:r w:rsidRPr="00BC43FC">
              <w:rPr>
                <w:b/>
                <w:bCs/>
              </w:rPr>
              <w:t>44–51%</w:t>
            </w:r>
          </w:p>
        </w:tc>
        <w:tc>
          <w:tcPr>
            <w:tcW w:w="2338" w:type="dxa"/>
            <w:tcBorders>
              <w:top w:val="nil"/>
              <w:left w:val="nil"/>
              <w:bottom w:val="nil"/>
              <w:right w:val="nil"/>
            </w:tcBorders>
          </w:tcPr>
          <w:p w14:paraId="1B6A2711" w14:textId="47EC006D" w:rsidR="00BD0A0C" w:rsidRPr="00BC43FC" w:rsidRDefault="009522C4" w:rsidP="00BD0A0C">
            <w:pPr>
              <w:spacing w:after="120"/>
              <w:rPr>
                <w:b/>
                <w:bCs/>
              </w:rPr>
            </w:pPr>
            <w:r w:rsidRPr="00BC43FC">
              <w:rPr>
                <w:b/>
                <w:bCs/>
              </w:rPr>
              <w:t>37–57%</w:t>
            </w:r>
          </w:p>
        </w:tc>
      </w:tr>
      <w:tr w:rsidR="00BD0A0C" w14:paraId="591EB260" w14:textId="77777777" w:rsidTr="008F7579">
        <w:tc>
          <w:tcPr>
            <w:tcW w:w="2515" w:type="dxa"/>
            <w:tcBorders>
              <w:top w:val="nil"/>
              <w:left w:val="nil"/>
              <w:bottom w:val="nil"/>
              <w:right w:val="nil"/>
            </w:tcBorders>
          </w:tcPr>
          <w:p w14:paraId="4A34A1CE" w14:textId="7B0BD7C2" w:rsidR="00BD0A0C" w:rsidRDefault="00BD0A0C" w:rsidP="00BD0A0C">
            <w:pPr>
              <w:spacing w:after="120"/>
            </w:pPr>
            <w:r>
              <w:rPr>
                <w:i/>
                <w:iCs/>
              </w:rPr>
              <w:t xml:space="preserve">    Fall</w:t>
            </w:r>
          </w:p>
        </w:tc>
        <w:tc>
          <w:tcPr>
            <w:tcW w:w="2159" w:type="dxa"/>
            <w:tcBorders>
              <w:top w:val="nil"/>
              <w:left w:val="nil"/>
              <w:bottom w:val="nil"/>
              <w:right w:val="nil"/>
            </w:tcBorders>
          </w:tcPr>
          <w:p w14:paraId="60302ABC" w14:textId="4BD7AEFB" w:rsidR="00BD0A0C" w:rsidRDefault="00F54960" w:rsidP="00BD0A0C">
            <w:pPr>
              <w:spacing w:after="120"/>
            </w:pPr>
            <w:r>
              <w:t>53%</w:t>
            </w:r>
          </w:p>
        </w:tc>
        <w:tc>
          <w:tcPr>
            <w:tcW w:w="2338" w:type="dxa"/>
            <w:tcBorders>
              <w:top w:val="nil"/>
              <w:left w:val="nil"/>
              <w:bottom w:val="nil"/>
              <w:right w:val="nil"/>
            </w:tcBorders>
          </w:tcPr>
          <w:p w14:paraId="32E45267" w14:textId="4B49E58E" w:rsidR="00BD0A0C" w:rsidRDefault="00192B65" w:rsidP="00BD0A0C">
            <w:pPr>
              <w:spacing w:after="120"/>
            </w:pPr>
            <w:r>
              <w:t>49–58%</w:t>
            </w:r>
          </w:p>
        </w:tc>
        <w:tc>
          <w:tcPr>
            <w:tcW w:w="2338" w:type="dxa"/>
            <w:tcBorders>
              <w:top w:val="nil"/>
              <w:left w:val="nil"/>
              <w:bottom w:val="nil"/>
              <w:right w:val="nil"/>
            </w:tcBorders>
          </w:tcPr>
          <w:p w14:paraId="7C3A06AA" w14:textId="358D7DE3" w:rsidR="00BD0A0C" w:rsidRDefault="00710937" w:rsidP="00BD0A0C">
            <w:pPr>
              <w:spacing w:after="120"/>
            </w:pPr>
            <w:r>
              <w:t>39–65%</w:t>
            </w:r>
          </w:p>
        </w:tc>
      </w:tr>
      <w:tr w:rsidR="00BD0A0C" w14:paraId="405BBAF6" w14:textId="77777777" w:rsidTr="008F7579">
        <w:tc>
          <w:tcPr>
            <w:tcW w:w="2515" w:type="dxa"/>
            <w:tcBorders>
              <w:top w:val="nil"/>
              <w:left w:val="nil"/>
              <w:bottom w:val="nil"/>
              <w:right w:val="nil"/>
            </w:tcBorders>
          </w:tcPr>
          <w:p w14:paraId="204345F8" w14:textId="10612FEE" w:rsidR="00BD0A0C" w:rsidRDefault="00BD0A0C" w:rsidP="00BD0A0C">
            <w:pPr>
              <w:spacing w:after="120"/>
            </w:pPr>
            <w:r>
              <w:t xml:space="preserve">    </w:t>
            </w:r>
            <w:r>
              <w:rPr>
                <w:i/>
                <w:iCs/>
              </w:rPr>
              <w:t>Spring</w:t>
            </w:r>
          </w:p>
        </w:tc>
        <w:tc>
          <w:tcPr>
            <w:tcW w:w="2159" w:type="dxa"/>
            <w:tcBorders>
              <w:top w:val="nil"/>
              <w:left w:val="nil"/>
              <w:bottom w:val="nil"/>
              <w:right w:val="nil"/>
            </w:tcBorders>
          </w:tcPr>
          <w:p w14:paraId="4FDFF6E3" w14:textId="6AAE968D" w:rsidR="00BD0A0C" w:rsidRDefault="00FC6C19" w:rsidP="00BD0A0C">
            <w:pPr>
              <w:spacing w:after="120"/>
            </w:pPr>
            <w:r>
              <w:t>40%</w:t>
            </w:r>
          </w:p>
        </w:tc>
        <w:tc>
          <w:tcPr>
            <w:tcW w:w="2338" w:type="dxa"/>
            <w:tcBorders>
              <w:top w:val="nil"/>
              <w:left w:val="nil"/>
              <w:bottom w:val="nil"/>
              <w:right w:val="nil"/>
            </w:tcBorders>
          </w:tcPr>
          <w:p w14:paraId="5E0F3A5B" w14:textId="1D7F68F1" w:rsidR="00BD0A0C" w:rsidRDefault="005371FB" w:rsidP="00BD0A0C">
            <w:pPr>
              <w:spacing w:after="120"/>
            </w:pPr>
            <w:r>
              <w:t>35–45%</w:t>
            </w:r>
          </w:p>
        </w:tc>
        <w:tc>
          <w:tcPr>
            <w:tcW w:w="2338" w:type="dxa"/>
            <w:tcBorders>
              <w:top w:val="nil"/>
              <w:left w:val="nil"/>
              <w:bottom w:val="nil"/>
              <w:right w:val="nil"/>
            </w:tcBorders>
          </w:tcPr>
          <w:p w14:paraId="093E9160" w14:textId="22734D34" w:rsidR="00BD0A0C" w:rsidRDefault="008C2B94" w:rsidP="00BD0A0C">
            <w:pPr>
              <w:spacing w:after="120"/>
            </w:pPr>
            <w:r>
              <w:t>26–54%</w:t>
            </w:r>
          </w:p>
        </w:tc>
      </w:tr>
      <w:tr w:rsidR="00BD0A0C" w14:paraId="13C63E96" w14:textId="77777777" w:rsidTr="008F7579">
        <w:tc>
          <w:tcPr>
            <w:tcW w:w="2515" w:type="dxa"/>
            <w:tcBorders>
              <w:top w:val="nil"/>
              <w:left w:val="nil"/>
              <w:bottom w:val="nil"/>
              <w:right w:val="nil"/>
            </w:tcBorders>
          </w:tcPr>
          <w:p w14:paraId="049E6AD0" w14:textId="7B787A13" w:rsidR="00BD0A0C" w:rsidRDefault="00BD0A0C" w:rsidP="00BD0A0C">
            <w:pPr>
              <w:spacing w:after="120"/>
            </w:pPr>
            <w:r>
              <w:t xml:space="preserve">    </w:t>
            </w:r>
            <w:r>
              <w:rPr>
                <w:i/>
                <w:iCs/>
              </w:rPr>
              <w:t>Adult</w:t>
            </w:r>
          </w:p>
        </w:tc>
        <w:tc>
          <w:tcPr>
            <w:tcW w:w="2159" w:type="dxa"/>
            <w:tcBorders>
              <w:top w:val="nil"/>
              <w:left w:val="nil"/>
              <w:bottom w:val="nil"/>
              <w:right w:val="nil"/>
            </w:tcBorders>
          </w:tcPr>
          <w:p w14:paraId="4C746622" w14:textId="3F9FBC3C" w:rsidR="00BD0A0C" w:rsidRDefault="0067153E" w:rsidP="00BD0A0C">
            <w:pPr>
              <w:spacing w:after="120"/>
            </w:pPr>
            <w:r>
              <w:t>43%</w:t>
            </w:r>
          </w:p>
        </w:tc>
        <w:tc>
          <w:tcPr>
            <w:tcW w:w="2338" w:type="dxa"/>
            <w:tcBorders>
              <w:top w:val="nil"/>
              <w:left w:val="nil"/>
              <w:bottom w:val="nil"/>
              <w:right w:val="nil"/>
            </w:tcBorders>
          </w:tcPr>
          <w:p w14:paraId="287F0583" w14:textId="1CE40C92" w:rsidR="00BD0A0C" w:rsidRDefault="008E1C8F" w:rsidP="00BD0A0C">
            <w:pPr>
              <w:spacing w:after="120"/>
            </w:pPr>
            <w:r>
              <w:t>38–48%</w:t>
            </w:r>
          </w:p>
        </w:tc>
        <w:tc>
          <w:tcPr>
            <w:tcW w:w="2338" w:type="dxa"/>
            <w:tcBorders>
              <w:top w:val="nil"/>
              <w:left w:val="nil"/>
              <w:bottom w:val="nil"/>
              <w:right w:val="nil"/>
            </w:tcBorders>
          </w:tcPr>
          <w:p w14:paraId="2C03404B" w14:textId="148AD5D7" w:rsidR="00BD0A0C" w:rsidRDefault="00C71F5F" w:rsidP="00BD0A0C">
            <w:pPr>
              <w:spacing w:after="120"/>
            </w:pPr>
            <w:r>
              <w:t>28–58%</w:t>
            </w:r>
          </w:p>
        </w:tc>
      </w:tr>
      <w:tr w:rsidR="00BD0A0C" w14:paraId="55D1103A" w14:textId="77777777" w:rsidTr="008F7579">
        <w:tc>
          <w:tcPr>
            <w:tcW w:w="2515" w:type="dxa"/>
            <w:tcBorders>
              <w:top w:val="nil"/>
              <w:left w:val="nil"/>
              <w:right w:val="nil"/>
            </w:tcBorders>
          </w:tcPr>
          <w:p w14:paraId="414A5A23" w14:textId="57F02915" w:rsidR="00BD0A0C" w:rsidRDefault="00BD0A0C" w:rsidP="00BD0A0C">
            <w:pPr>
              <w:spacing w:after="120"/>
            </w:pPr>
            <w:r>
              <w:t xml:space="preserve">    </w:t>
            </w:r>
            <w:r>
              <w:rPr>
                <w:i/>
                <w:iCs/>
              </w:rPr>
              <w:t>Juvenile</w:t>
            </w:r>
          </w:p>
        </w:tc>
        <w:tc>
          <w:tcPr>
            <w:tcW w:w="2159" w:type="dxa"/>
            <w:tcBorders>
              <w:top w:val="nil"/>
              <w:left w:val="nil"/>
              <w:right w:val="nil"/>
            </w:tcBorders>
          </w:tcPr>
          <w:p w14:paraId="5C70C48F" w14:textId="0932C03D" w:rsidR="00BD0A0C" w:rsidRDefault="00234EA1" w:rsidP="00BD0A0C">
            <w:pPr>
              <w:spacing w:after="120"/>
            </w:pPr>
            <w:r>
              <w:t>47%</w:t>
            </w:r>
          </w:p>
        </w:tc>
        <w:tc>
          <w:tcPr>
            <w:tcW w:w="2338" w:type="dxa"/>
            <w:tcBorders>
              <w:top w:val="nil"/>
              <w:left w:val="nil"/>
              <w:right w:val="nil"/>
            </w:tcBorders>
          </w:tcPr>
          <w:p w14:paraId="6D31859A" w14:textId="4C6BF6DE" w:rsidR="00BD0A0C" w:rsidRDefault="008514B2" w:rsidP="00BD0A0C">
            <w:pPr>
              <w:spacing w:after="120"/>
            </w:pPr>
            <w:r>
              <w:t>43–52%</w:t>
            </w:r>
          </w:p>
        </w:tc>
        <w:tc>
          <w:tcPr>
            <w:tcW w:w="2338" w:type="dxa"/>
            <w:tcBorders>
              <w:top w:val="nil"/>
              <w:left w:val="nil"/>
              <w:right w:val="nil"/>
            </w:tcBorders>
          </w:tcPr>
          <w:p w14:paraId="1FDF551E" w14:textId="0DE7BD3A" w:rsidR="00BD0A0C" w:rsidRDefault="00E22318" w:rsidP="00BD0A0C">
            <w:pPr>
              <w:spacing w:after="120"/>
            </w:pPr>
            <w:r>
              <w:t>34–60%</w:t>
            </w:r>
          </w:p>
        </w:tc>
      </w:tr>
    </w:tbl>
    <w:p w14:paraId="30519AF2" w14:textId="5C1C14B9" w:rsidR="005B49D7" w:rsidRDefault="00A02B41" w:rsidP="00D14C5C">
      <w:pPr>
        <w:spacing w:line="480" w:lineRule="auto"/>
      </w:pPr>
      <w:r>
        <w:t xml:space="preserve">Table 1. Caption </w:t>
      </w:r>
      <w:proofErr w:type="spellStart"/>
      <w:r>
        <w:t>tk</w:t>
      </w:r>
      <w:proofErr w:type="spellEnd"/>
    </w:p>
    <w:p w14:paraId="6200B82D" w14:textId="3D603C49" w:rsidR="00A547A9" w:rsidRDefault="00A547A9" w:rsidP="00D14C5C">
      <w:pPr>
        <w:spacing w:line="480" w:lineRule="auto"/>
      </w:pPr>
      <w:r>
        <w:br w:type="page"/>
      </w:r>
    </w:p>
    <w:p w14:paraId="34916849" w14:textId="3D5326A9" w:rsidR="00FA2B33" w:rsidRDefault="00540B79" w:rsidP="000D609A">
      <w:pPr>
        <w:spacing w:line="480" w:lineRule="auto"/>
      </w:pPr>
      <w:r>
        <w:rPr>
          <w:noProof/>
        </w:rPr>
        <w:lastRenderedPageBreak/>
        <w:drawing>
          <wp:inline distT="0" distB="0" distL="0" distR="0" wp14:anchorId="39FF044D" wp14:editId="11FD00FD">
            <wp:extent cx="4876800" cy="4267200"/>
            <wp:effectExtent l="0" t="0" r="0" b="0"/>
            <wp:docPr id="172852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6C42467F" w14:textId="7EE957D9" w:rsidR="00540B79" w:rsidRDefault="00540B79" w:rsidP="000D609A">
      <w:pPr>
        <w:spacing w:line="480" w:lineRule="auto"/>
      </w:pPr>
      <w:r>
        <w:t xml:space="preserve">Figure </w:t>
      </w:r>
      <w:r w:rsidR="00AB1F06">
        <w:t>1</w:t>
      </w:r>
      <w:r>
        <w:t>.</w:t>
      </w:r>
      <w:r w:rsidR="00AB1F06">
        <w:t xml:space="preserve"> Points represent medians, thick lines represent 50% credible intervals, thin lines represent 95% credible intervals.</w:t>
      </w:r>
    </w:p>
    <w:p w14:paraId="0A65B5C1" w14:textId="02595E40" w:rsidR="003A2A58" w:rsidRDefault="003A2A58">
      <w:r>
        <w:br w:type="page"/>
      </w:r>
    </w:p>
    <w:p w14:paraId="65383E61" w14:textId="1C658BCA" w:rsidR="003A2A58" w:rsidRDefault="00DA21DC" w:rsidP="000D609A">
      <w:pPr>
        <w:spacing w:line="480" w:lineRule="auto"/>
      </w:pPr>
      <w:r>
        <w:rPr>
          <w:noProof/>
        </w:rPr>
        <w:lastRenderedPageBreak/>
        <w:drawing>
          <wp:inline distT="0" distB="0" distL="0" distR="0" wp14:anchorId="7EB0815F" wp14:editId="4858CEA9">
            <wp:extent cx="4876800" cy="4267200"/>
            <wp:effectExtent l="0" t="0" r="0" b="0"/>
            <wp:docPr id="397926089" name="Picture 3" descr="A comparison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26089" name="Picture 3" descr="A comparison of a normal distribu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6800" cy="4267200"/>
                    </a:xfrm>
                    <a:prstGeom prst="rect">
                      <a:avLst/>
                    </a:prstGeom>
                    <a:noFill/>
                    <a:ln>
                      <a:noFill/>
                    </a:ln>
                  </pic:spPr>
                </pic:pic>
              </a:graphicData>
            </a:graphic>
          </wp:inline>
        </w:drawing>
      </w:r>
    </w:p>
    <w:p w14:paraId="06A71082" w14:textId="0710646E" w:rsidR="003A2A58" w:rsidRDefault="003A2A58" w:rsidP="000D609A">
      <w:pPr>
        <w:spacing w:line="480" w:lineRule="auto"/>
      </w:pPr>
      <w:r>
        <w:t xml:space="preserve">Figure </w:t>
      </w:r>
      <w:r w:rsidR="00AB1F06">
        <w:t>2.</w:t>
      </w:r>
      <w:r w:rsidR="00DA5271">
        <w:t xml:space="preserve"> Points represent medians, thick lines represent 50% credible intervals, thin lines represent 95% credible intervals.</w:t>
      </w:r>
    </w:p>
    <w:p w14:paraId="2EA744A0" w14:textId="77777777" w:rsidR="003A2A58" w:rsidRDefault="003A2A58">
      <w:r>
        <w:br w:type="page"/>
      </w:r>
    </w:p>
    <w:p w14:paraId="62685812" w14:textId="5807A186" w:rsidR="0087784B" w:rsidRDefault="0087784B">
      <w:r>
        <w:rPr>
          <w:noProof/>
        </w:rPr>
        <w:lastRenderedPageBreak/>
        <w:drawing>
          <wp:inline distT="0" distB="0" distL="0" distR="0" wp14:anchorId="37CC7C9A" wp14:editId="3AD50181">
            <wp:extent cx="4267200" cy="3048000"/>
            <wp:effectExtent l="0" t="0" r="0" b="0"/>
            <wp:docPr id="1566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14:paraId="14327A7A" w14:textId="1916C5E6" w:rsidR="0087784B" w:rsidRDefault="0087784B" w:rsidP="00432EB4">
      <w:pPr>
        <w:spacing w:line="480" w:lineRule="auto"/>
      </w:pPr>
      <w:r>
        <w:t xml:space="preserve">Figure </w:t>
      </w:r>
      <w:r w:rsidR="00AB1F06">
        <w:t>3</w:t>
      </w:r>
      <w:r>
        <w:t>.</w:t>
      </w:r>
      <w:r w:rsidR="003E02ED">
        <w:t xml:space="preserve"> Distribution of woodcock flight altitudes compared to </w:t>
      </w:r>
      <w:r w:rsidR="0099358E">
        <w:t>the heights of low-rise buildings (red), terrestrial wind turbines (orange), and communications towers (yellow).</w:t>
      </w:r>
    </w:p>
    <w:p w14:paraId="7D39960F" w14:textId="3A472041" w:rsidR="0087784B" w:rsidRDefault="0087784B">
      <w:r>
        <w:br w:type="page"/>
      </w:r>
    </w:p>
    <w:p w14:paraId="6D779038" w14:textId="7BB28855" w:rsidR="007009AC" w:rsidRPr="007009AC" w:rsidRDefault="007009AC" w:rsidP="000D609A">
      <w:pPr>
        <w:spacing w:line="480" w:lineRule="auto"/>
        <w:rPr>
          <w:b/>
          <w:bCs/>
        </w:rPr>
      </w:pPr>
      <w:r>
        <w:rPr>
          <w:b/>
          <w:bCs/>
        </w:rPr>
        <w:lastRenderedPageBreak/>
        <w:t>4 Discussion</w:t>
      </w:r>
    </w:p>
    <w:sectPr w:rsidR="007009AC" w:rsidRPr="007009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4-03-20T09:52:00Z" w:initials="LB">
    <w:p w14:paraId="610CB2F1" w14:textId="77777777" w:rsidR="00E94423" w:rsidRDefault="00E94423" w:rsidP="00E94423">
      <w:pPr>
        <w:pStyle w:val="CommentText"/>
      </w:pPr>
      <w:r>
        <w:rPr>
          <w:rStyle w:val="CommentReference"/>
        </w:rPr>
        <w:annotationRef/>
      </w:r>
      <w:r>
        <w:t>Update me</w:t>
      </w:r>
    </w:p>
  </w:comment>
  <w:comment w:id="1" w:author="Liam Akerlof Berigan" w:date="2024-03-20T10:15:00Z" w:initials="LB">
    <w:p w14:paraId="34843AAC" w14:textId="77777777" w:rsidR="002E0192" w:rsidRDefault="002E0192" w:rsidP="002E0192">
      <w:pPr>
        <w:pStyle w:val="CommentText"/>
      </w:pPr>
      <w:r>
        <w:rPr>
          <w:rStyle w:val="CommentReference"/>
        </w:rPr>
        <w:annotationRef/>
      </w:r>
      <w:r>
        <w:t>Find a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0CB2F1" w15:done="0"/>
  <w15:commentEx w15:paraId="34843AA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146FD6" w16cex:dateUtc="2024-03-20T13:52:00Z"/>
  <w16cex:commentExtensible w16cex:durableId="54F62412" w16cex:dateUtc="2024-03-20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0CB2F1" w16cid:durableId="27146FD6"/>
  <w16cid:commentId w16cid:paraId="34843AAC" w16cid:durableId="54F624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53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79"/>
    <w:rsid w:val="00005E45"/>
    <w:rsid w:val="000103D8"/>
    <w:rsid w:val="00020AE6"/>
    <w:rsid w:val="00040237"/>
    <w:rsid w:val="000A655E"/>
    <w:rsid w:val="000C2134"/>
    <w:rsid w:val="000C6B69"/>
    <w:rsid w:val="000D609A"/>
    <w:rsid w:val="000D61AE"/>
    <w:rsid w:val="0016353E"/>
    <w:rsid w:val="00177594"/>
    <w:rsid w:val="00177B49"/>
    <w:rsid w:val="0018205B"/>
    <w:rsid w:val="00184E5D"/>
    <w:rsid w:val="00186988"/>
    <w:rsid w:val="00190959"/>
    <w:rsid w:val="00192B65"/>
    <w:rsid w:val="001A03BC"/>
    <w:rsid w:val="001C5565"/>
    <w:rsid w:val="001D4E66"/>
    <w:rsid w:val="001E1C1E"/>
    <w:rsid w:val="001F0E2B"/>
    <w:rsid w:val="001F6812"/>
    <w:rsid w:val="00206E0F"/>
    <w:rsid w:val="00221A06"/>
    <w:rsid w:val="00224299"/>
    <w:rsid w:val="00234EA1"/>
    <w:rsid w:val="0024518C"/>
    <w:rsid w:val="00252E7D"/>
    <w:rsid w:val="002601A0"/>
    <w:rsid w:val="00265C19"/>
    <w:rsid w:val="00274EA4"/>
    <w:rsid w:val="00295708"/>
    <w:rsid w:val="002B5B1D"/>
    <w:rsid w:val="002D50A6"/>
    <w:rsid w:val="002E0192"/>
    <w:rsid w:val="002F5AA7"/>
    <w:rsid w:val="00306007"/>
    <w:rsid w:val="003109FB"/>
    <w:rsid w:val="003321FE"/>
    <w:rsid w:val="00342DE8"/>
    <w:rsid w:val="00357080"/>
    <w:rsid w:val="00357182"/>
    <w:rsid w:val="0035720C"/>
    <w:rsid w:val="00364EF6"/>
    <w:rsid w:val="0036505F"/>
    <w:rsid w:val="00367CB1"/>
    <w:rsid w:val="00386539"/>
    <w:rsid w:val="003A107D"/>
    <w:rsid w:val="003A2A58"/>
    <w:rsid w:val="003D2EAE"/>
    <w:rsid w:val="003D5785"/>
    <w:rsid w:val="003E02ED"/>
    <w:rsid w:val="003E4DF1"/>
    <w:rsid w:val="004054B5"/>
    <w:rsid w:val="00432EB4"/>
    <w:rsid w:val="00454099"/>
    <w:rsid w:val="00471DA6"/>
    <w:rsid w:val="00483AE2"/>
    <w:rsid w:val="004A0997"/>
    <w:rsid w:val="004D6D56"/>
    <w:rsid w:val="005020CB"/>
    <w:rsid w:val="0051198F"/>
    <w:rsid w:val="00520561"/>
    <w:rsid w:val="00524F7A"/>
    <w:rsid w:val="00526F5B"/>
    <w:rsid w:val="005371FB"/>
    <w:rsid w:val="00540B79"/>
    <w:rsid w:val="005432BC"/>
    <w:rsid w:val="005531E8"/>
    <w:rsid w:val="00580558"/>
    <w:rsid w:val="0059321C"/>
    <w:rsid w:val="00594946"/>
    <w:rsid w:val="005A0F48"/>
    <w:rsid w:val="005B49D7"/>
    <w:rsid w:val="005C605F"/>
    <w:rsid w:val="005D3073"/>
    <w:rsid w:val="005E0E66"/>
    <w:rsid w:val="005E2238"/>
    <w:rsid w:val="00602B22"/>
    <w:rsid w:val="0066739E"/>
    <w:rsid w:val="0067153E"/>
    <w:rsid w:val="00672F74"/>
    <w:rsid w:val="006A746B"/>
    <w:rsid w:val="006B2457"/>
    <w:rsid w:val="006B2C9E"/>
    <w:rsid w:val="006F4315"/>
    <w:rsid w:val="007009AC"/>
    <w:rsid w:val="00710937"/>
    <w:rsid w:val="00715E7E"/>
    <w:rsid w:val="00723586"/>
    <w:rsid w:val="00731446"/>
    <w:rsid w:val="0074002D"/>
    <w:rsid w:val="00746262"/>
    <w:rsid w:val="00754291"/>
    <w:rsid w:val="00754CE3"/>
    <w:rsid w:val="007568D5"/>
    <w:rsid w:val="00761B49"/>
    <w:rsid w:val="00770F41"/>
    <w:rsid w:val="00774031"/>
    <w:rsid w:val="00792630"/>
    <w:rsid w:val="007965BE"/>
    <w:rsid w:val="007A068A"/>
    <w:rsid w:val="007A7AC3"/>
    <w:rsid w:val="007B2DA9"/>
    <w:rsid w:val="007B5626"/>
    <w:rsid w:val="007F108C"/>
    <w:rsid w:val="008070DF"/>
    <w:rsid w:val="00807F59"/>
    <w:rsid w:val="008514B2"/>
    <w:rsid w:val="00852E29"/>
    <w:rsid w:val="00856935"/>
    <w:rsid w:val="00860C39"/>
    <w:rsid w:val="00865B66"/>
    <w:rsid w:val="0087784B"/>
    <w:rsid w:val="00881152"/>
    <w:rsid w:val="00881EE0"/>
    <w:rsid w:val="008927C3"/>
    <w:rsid w:val="008A3E1D"/>
    <w:rsid w:val="008C2B94"/>
    <w:rsid w:val="008D03C8"/>
    <w:rsid w:val="008D1052"/>
    <w:rsid w:val="008D2D68"/>
    <w:rsid w:val="008D3FB3"/>
    <w:rsid w:val="008E1C8F"/>
    <w:rsid w:val="008E2635"/>
    <w:rsid w:val="008E6945"/>
    <w:rsid w:val="008F7579"/>
    <w:rsid w:val="00910238"/>
    <w:rsid w:val="00950CC9"/>
    <w:rsid w:val="00952092"/>
    <w:rsid w:val="009522C4"/>
    <w:rsid w:val="009528AE"/>
    <w:rsid w:val="009746FB"/>
    <w:rsid w:val="00976AF4"/>
    <w:rsid w:val="0099358E"/>
    <w:rsid w:val="00993A5D"/>
    <w:rsid w:val="0099738E"/>
    <w:rsid w:val="009A0710"/>
    <w:rsid w:val="009D0609"/>
    <w:rsid w:val="009E4DA3"/>
    <w:rsid w:val="00A02B41"/>
    <w:rsid w:val="00A04705"/>
    <w:rsid w:val="00A174E4"/>
    <w:rsid w:val="00A43331"/>
    <w:rsid w:val="00A51234"/>
    <w:rsid w:val="00A53F71"/>
    <w:rsid w:val="00A547A9"/>
    <w:rsid w:val="00A71473"/>
    <w:rsid w:val="00A81BA0"/>
    <w:rsid w:val="00A9200F"/>
    <w:rsid w:val="00A96A9E"/>
    <w:rsid w:val="00AA74BD"/>
    <w:rsid w:val="00AB1F06"/>
    <w:rsid w:val="00AC2E9F"/>
    <w:rsid w:val="00AD4913"/>
    <w:rsid w:val="00AD67F8"/>
    <w:rsid w:val="00B24AB1"/>
    <w:rsid w:val="00B441A6"/>
    <w:rsid w:val="00B534C8"/>
    <w:rsid w:val="00B73079"/>
    <w:rsid w:val="00B855F6"/>
    <w:rsid w:val="00B91509"/>
    <w:rsid w:val="00BA1B34"/>
    <w:rsid w:val="00BA52D1"/>
    <w:rsid w:val="00BC43FC"/>
    <w:rsid w:val="00BD0A0C"/>
    <w:rsid w:val="00BD1F04"/>
    <w:rsid w:val="00BE7E05"/>
    <w:rsid w:val="00C147D6"/>
    <w:rsid w:val="00C255F6"/>
    <w:rsid w:val="00C33F73"/>
    <w:rsid w:val="00C71F5F"/>
    <w:rsid w:val="00C9287F"/>
    <w:rsid w:val="00C92C50"/>
    <w:rsid w:val="00CA57ED"/>
    <w:rsid w:val="00CB0B69"/>
    <w:rsid w:val="00CC1709"/>
    <w:rsid w:val="00CD034C"/>
    <w:rsid w:val="00CF596A"/>
    <w:rsid w:val="00CF63D8"/>
    <w:rsid w:val="00CF6588"/>
    <w:rsid w:val="00D00DF7"/>
    <w:rsid w:val="00D14C5C"/>
    <w:rsid w:val="00D1638D"/>
    <w:rsid w:val="00D47E9B"/>
    <w:rsid w:val="00D54B6E"/>
    <w:rsid w:val="00D63CF3"/>
    <w:rsid w:val="00D80132"/>
    <w:rsid w:val="00D82BB7"/>
    <w:rsid w:val="00D87855"/>
    <w:rsid w:val="00D93C8E"/>
    <w:rsid w:val="00DA1989"/>
    <w:rsid w:val="00DA21DC"/>
    <w:rsid w:val="00DA5271"/>
    <w:rsid w:val="00DB4E94"/>
    <w:rsid w:val="00DB683F"/>
    <w:rsid w:val="00DB77F7"/>
    <w:rsid w:val="00DE60FB"/>
    <w:rsid w:val="00E0552E"/>
    <w:rsid w:val="00E11FFB"/>
    <w:rsid w:val="00E22318"/>
    <w:rsid w:val="00E23927"/>
    <w:rsid w:val="00E417BB"/>
    <w:rsid w:val="00E46029"/>
    <w:rsid w:val="00E8222F"/>
    <w:rsid w:val="00E93053"/>
    <w:rsid w:val="00E94423"/>
    <w:rsid w:val="00EA4EAA"/>
    <w:rsid w:val="00EB0289"/>
    <w:rsid w:val="00EC3AD1"/>
    <w:rsid w:val="00ED1977"/>
    <w:rsid w:val="00EF70E9"/>
    <w:rsid w:val="00F02835"/>
    <w:rsid w:val="00F05A1B"/>
    <w:rsid w:val="00F14154"/>
    <w:rsid w:val="00F23EE9"/>
    <w:rsid w:val="00F24B66"/>
    <w:rsid w:val="00F34601"/>
    <w:rsid w:val="00F541AA"/>
    <w:rsid w:val="00F54960"/>
    <w:rsid w:val="00F56846"/>
    <w:rsid w:val="00F73298"/>
    <w:rsid w:val="00F73BA5"/>
    <w:rsid w:val="00F7503E"/>
    <w:rsid w:val="00F87BAB"/>
    <w:rsid w:val="00FA2B33"/>
    <w:rsid w:val="00FA73D8"/>
    <w:rsid w:val="00FB5911"/>
    <w:rsid w:val="00FC6C19"/>
    <w:rsid w:val="00FD4193"/>
    <w:rsid w:val="00FE3949"/>
    <w:rsid w:val="00FE6EA9"/>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66D30"/>
  <w15:chartTrackingRefBased/>
  <w15:docId w15:val="{5BAB991C-0669-427F-8C8A-7058BD453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B73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223</cp:revision>
  <dcterms:created xsi:type="dcterms:W3CDTF">2024-03-19T17:29:00Z</dcterms:created>
  <dcterms:modified xsi:type="dcterms:W3CDTF">2024-03-20T14:47:00Z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id="JY2nCur8"/&gt;&lt;style id="http://www.zotero.org/styles/the-condor" hasBibliography="1" bibliographyStyleHasBeenSet="0"/&gt;&lt;prefs&gt;&lt;pref name="fieldType" value="Field"/&gt;&lt;/prefs&gt;&lt;/data&gt;</vt:lpwstr>
  </property>
</Properties>
</file>