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FE8E" w14:textId="5F7B7F0C" w:rsidR="004B0022" w:rsidRDefault="004B0022" w:rsidP="00590208">
      <w:pPr>
        <w:spacing w:line="480" w:lineRule="auto"/>
        <w:rPr>
          <w:i/>
          <w:iCs/>
        </w:rPr>
      </w:pPr>
      <w:r>
        <w:rPr>
          <w:i/>
          <w:iCs/>
        </w:rPr>
        <w:t xml:space="preserve">Low </w:t>
      </w:r>
      <w:r w:rsidR="00FA78F6">
        <w:rPr>
          <w:i/>
          <w:iCs/>
        </w:rPr>
        <w:t xml:space="preserve">migratory </w:t>
      </w:r>
      <w:r>
        <w:rPr>
          <w:i/>
          <w:iCs/>
        </w:rPr>
        <w:t xml:space="preserve">flight altitudes </w:t>
      </w:r>
      <w:r w:rsidR="00FA78F6">
        <w:rPr>
          <w:i/>
          <w:iCs/>
        </w:rPr>
        <w:t xml:space="preserve">explain increased collision risk </w:t>
      </w:r>
      <w:r>
        <w:rPr>
          <w:i/>
          <w:iCs/>
        </w:rPr>
        <w:t xml:space="preserve">for American Woodcock </w:t>
      </w:r>
    </w:p>
    <w:p w14:paraId="013FB711" w14:textId="2E4BAAE8" w:rsidR="000374DB" w:rsidRPr="000374DB" w:rsidRDefault="000374DB" w:rsidP="000D609A">
      <w:pPr>
        <w:spacing w:line="480" w:lineRule="auto"/>
      </w:pPr>
      <w:r>
        <w:t>Target: Ornithological Applications</w:t>
      </w:r>
    </w:p>
    <w:p w14:paraId="2DCCF5E7" w14:textId="2BCC3F17" w:rsidR="00050526" w:rsidRDefault="00050526" w:rsidP="000D609A">
      <w:pPr>
        <w:spacing w:line="480" w:lineRule="auto"/>
      </w:pPr>
      <w:r>
        <w:rPr>
          <w:b/>
          <w:bCs/>
        </w:rPr>
        <w:t>Abstract</w:t>
      </w:r>
    </w:p>
    <w:p w14:paraId="6E5B7506" w14:textId="32BA9519"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ransmitters recorded nocturnal GPS locations with altitude readings at 12</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w:t>
      </w:r>
      <w:r w:rsidR="008F0E15">
        <w:t xml:space="preserve"> while correcting for potential error in altitudinal readings</w:t>
      </w:r>
      <w:r w:rsidR="00B32706">
        <w:t>. We fo</w:t>
      </w:r>
      <w:r w:rsidR="005740E1">
        <w:t xml:space="preserve">und that woodcock </w:t>
      </w:r>
      <w:proofErr w:type="gramStart"/>
      <w:r w:rsidR="002402DD">
        <w:t>fly</w:t>
      </w:r>
      <w:proofErr w:type="gramEnd"/>
      <w:r w:rsidR="002402DD">
        <w:t xml:space="preserve"> at mean altitudes of 364m (95% </w:t>
      </w:r>
      <w:r w:rsidR="00642C9F">
        <w:t>credible interval</w:t>
      </w:r>
      <w:r w:rsidR="008F0E15">
        <w:t xml:space="preserve"> of the mean value</w:t>
      </w:r>
      <w:r w:rsidR="002402DD">
        <w:t xml:space="preserve">: </w:t>
      </w:r>
      <w:r w:rsidR="00ED45F1" w:rsidRPr="00ED45F1">
        <w:t>300–432m</w:t>
      </w:r>
      <w:r w:rsidR="00993822">
        <w:t>)</w:t>
      </w:r>
      <w:r w:rsidR="00642C9F">
        <w:t>, flying higher during spring</w:t>
      </w:r>
      <w:r w:rsidR="00FB30A6">
        <w:t xml:space="preserve"> (mean: </w:t>
      </w:r>
      <w:r w:rsidR="00993822">
        <w:t>428m</w:t>
      </w:r>
      <w:r w:rsidR="00FB30A6">
        <w:t xml:space="preserve">, 95% CRI: </w:t>
      </w:r>
      <w:r w:rsidR="00D5147E" w:rsidRPr="00D5147E">
        <w:t>326–539m</w:t>
      </w:r>
      <w:r w:rsidR="00FB30A6">
        <w:t xml:space="preserve">) than fall (mean: </w:t>
      </w:r>
      <w:r w:rsidR="00C72D49">
        <w:t>312m</w:t>
      </w:r>
      <w:r w:rsidR="00FB30A6">
        <w:t xml:space="preserve">, 95% CRI: </w:t>
      </w:r>
      <w:r w:rsidR="00C72D49" w:rsidRPr="00C72D49">
        <w:t>239–398m</w:t>
      </w:r>
      <w:r w:rsidR="00FB30A6">
        <w:t>)</w:t>
      </w:r>
      <w:r w:rsidR="008F0E15">
        <w:t xml:space="preserve">. Flight altitudes were </w:t>
      </w:r>
      <w:r w:rsidR="00FB30A6">
        <w:t xml:space="preserve">similar </w:t>
      </w:r>
      <w:r w:rsidR="008F0E15">
        <w:t>for</w:t>
      </w:r>
      <w:r w:rsidR="00FB30A6">
        <w:t xml:space="preserve"> adults (mean: </w:t>
      </w:r>
      <w:r w:rsidR="004332FD" w:rsidRPr="004332FD">
        <w:t>400m</w:t>
      </w:r>
      <w:r w:rsidR="00FB30A6">
        <w:t xml:space="preserve">, 95% CRI: </w:t>
      </w:r>
      <w:r w:rsidR="004332FD" w:rsidRPr="004332FD">
        <w:t>301–516m</w:t>
      </w:r>
      <w:r w:rsidR="00FB30A6">
        <w:t>) and juveniles (mean:</w:t>
      </w:r>
      <w:r w:rsidR="00001FB2" w:rsidRPr="00001FB2">
        <w:t xml:space="preserve"> 344m</w:t>
      </w:r>
      <w:r w:rsidR="00FB30A6">
        <w:t xml:space="preserve">, 95% CRI: </w:t>
      </w:r>
      <w:r w:rsidR="00852C80" w:rsidRPr="00852C80">
        <w:t>270–430m</w:t>
      </w:r>
      <w:r w:rsidR="00FB30A6">
        <w:t>).</w:t>
      </w:r>
      <w:r w:rsidR="009E32D7">
        <w:t xml:space="preserve"> Woodcock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w:t>
      </w:r>
      <w:r w:rsidR="00214F22">
        <w:lastRenderedPageBreak/>
        <w:t xml:space="preserve">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circumstances that result in obstacle collisions and </w:t>
      </w:r>
      <w:r w:rsidR="00A16392">
        <w:t xml:space="preserve">can inform </w:t>
      </w:r>
      <w:r w:rsidR="007F7010">
        <w:t>mitigation strategies to reduce bird mortality.</w:t>
      </w:r>
    </w:p>
    <w:p w14:paraId="2782E5D8" w14:textId="75DDAD85" w:rsidR="00F24B66" w:rsidRDefault="007009AC" w:rsidP="000D609A">
      <w:pPr>
        <w:spacing w:line="480" w:lineRule="auto"/>
        <w:rPr>
          <w:b/>
          <w:bCs/>
        </w:rPr>
      </w:pPr>
      <w:r>
        <w:rPr>
          <w:b/>
          <w:bCs/>
        </w:rPr>
        <w:t>1 Introduction</w:t>
      </w:r>
    </w:p>
    <w:p w14:paraId="00E2EC70" w14:textId="119145DB"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or </w:t>
      </w:r>
      <w:r w:rsidR="00026BC8">
        <w:t>birds</w:t>
      </w:r>
      <w:r w:rsidR="007547C9">
        <w:t xml:space="preserve"> which are </w:t>
      </w:r>
      <w:r w:rsidR="007547C9">
        <w:lastRenderedPageBreak/>
        <w:t xml:space="preserve">far more prone to obstacle collisions </w:t>
      </w:r>
      <w:r w:rsidR="0068110C">
        <w:t>than their raw abundance would suggest.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w:t>
      </w:r>
      <w:r w:rsidR="0051504D">
        <w:lastRenderedPageBreak/>
        <w:t>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provides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w:t>
      </w:r>
      <w:r w:rsidR="00640D31">
        <w:lastRenderedPageBreak/>
        <w:t xml:space="preserve">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754DF5CC" w14:textId="52C6F708"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4–7 g PinPoint</w:t>
      </w:r>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All capture and handling was conducted in accordance with </w:t>
      </w:r>
      <w:r w:rsidR="00E87F5A">
        <w:t>protocols approved by</w:t>
      </w:r>
      <w:r w:rsidR="00C076CD">
        <w:t xml:space="preserve"> the </w:t>
      </w:r>
      <w:r w:rsidR="00DE4D23">
        <w:t>University of Maine Institutional</w:t>
      </w:r>
      <w:r w:rsidR="00C076CD">
        <w:t xml:space="preserve"> </w:t>
      </w:r>
      <w:r w:rsidR="00DE4D23">
        <w:t>Animal Care and Use Committee (Protocols A2017_05_02</w:t>
      </w:r>
      <w:r w:rsidR="009D65EF">
        <w:t xml:space="preserve"> </w:t>
      </w:r>
      <w:r w:rsidR="00DE4D23">
        <w:t xml:space="preserve">and A2020_07_01) </w:t>
      </w:r>
      <w:r w:rsidR="009D65EF">
        <w:t>as well as</w:t>
      </w:r>
      <w:r w:rsidR="00DE4D23">
        <w:t xml:space="preserve"> </w:t>
      </w:r>
      <w:r w:rsidR="00E87F5A">
        <w:t xml:space="preserve">permits from </w:t>
      </w:r>
      <w:r w:rsidR="00DE4D23">
        <w:t>the USGS Bird</w:t>
      </w:r>
      <w:r w:rsidR="009D65EF">
        <w:t xml:space="preserve"> </w:t>
      </w:r>
      <w:r w:rsidR="00DE4D23">
        <w:t xml:space="preserve">Banding Laboratory </w:t>
      </w:r>
      <w:r w:rsidR="009D65EF">
        <w:t>and</w:t>
      </w:r>
      <w:r w:rsidR="00DE4D23">
        <w:t xml:space="preserve"> Canadian Bird Banding Office</w:t>
      </w:r>
      <w:r w:rsidR="00F54CE3">
        <w:t>.</w:t>
      </w:r>
    </w:p>
    <w:p w14:paraId="7F8EA4E1" w14:textId="49DE80B4"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proofErr w:type="spellStart"/>
      <w:r w:rsidR="002E0192">
        <w:t>Chp</w:t>
      </w:r>
      <w:proofErr w:type="spellEnd"/>
      <w:r w:rsidR="002E0192">
        <w:t>. 2).</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xml:space="preserve">, </w:t>
      </w:r>
      <w:r w:rsidR="000B018B">
        <w:lastRenderedPageBreak/>
        <w:t>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2D269607"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Péron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had 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472AED">
        <w:t xml:space="preserve">a </w:t>
      </w:r>
      <w:r>
        <w:t xml:space="preserve">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w:t>
      </w:r>
      <w:r w:rsidR="0044038E">
        <w:rPr>
          <w:rFonts w:eastAsiaTheme="minorEastAsia"/>
        </w:rPr>
        <w:lastRenderedPageBreak/>
        <w:t xml:space="preserve">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proofErr w:type="gramStart"/>
      <w:r>
        <w:rPr>
          <w:rFonts w:eastAsiaTheme="minorEastAsia"/>
        </w:rPr>
        <w:t>parameters</w:t>
      </w:r>
      <w:proofErr w:type="gramEnd"/>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33C6BD5F"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833DEA" w:rsidRPr="00833DEA">
        <w:rPr>
          <w:rFonts w:ascii="Aptos" w:hAnsi="Aptos"/>
        </w:rPr>
        <w:t>(Plummer 2003)</w:t>
      </w:r>
      <w:r w:rsidR="00090808">
        <w:rPr>
          <w:rFonts w:eastAsiaTheme="minorEastAsia"/>
        </w:rPr>
        <w:t xml:space="preserve"> running 4 chains at 200</w:t>
      </w:r>
      <w:r w:rsidR="0054066C">
        <w:rPr>
          <w:rFonts w:eastAsiaTheme="minorEastAsia"/>
        </w:rPr>
        <w:t>,</w:t>
      </w:r>
      <w:r w:rsidR="00090808">
        <w:rPr>
          <w:rFonts w:eastAsiaTheme="minorEastAsia"/>
        </w:rPr>
        <w:t>000 iterations with 10</w:t>
      </w:r>
      <w:r w:rsidR="0054066C">
        <w:rPr>
          <w:rFonts w:eastAsiaTheme="minorEastAsia"/>
        </w:rPr>
        <w:t>,</w:t>
      </w:r>
      <w:r w:rsidR="00090808">
        <w:rPr>
          <w:rFonts w:eastAsiaTheme="minorEastAsia"/>
        </w:rPr>
        <w:t xml:space="preserve">000 iterations burn-in and </w:t>
      </w:r>
      <w:r w:rsidR="00B3560A">
        <w:rPr>
          <w:rFonts w:eastAsiaTheme="minorEastAsia"/>
        </w:rPr>
        <w:t>no sample thinning</w:t>
      </w:r>
      <w:r w:rsidR="00090808">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sidR="00A01013">
        <w:rPr>
          <w:rFonts w:eastAsiaTheme="minorEastAsia"/>
        </w:rPr>
        <w:t>A model with sex as the</w:t>
      </w:r>
      <w:r w:rsidR="00090808">
        <w:rPr>
          <w:rFonts w:eastAsiaTheme="minorEastAsia"/>
        </w:rPr>
        <w:t xml:space="preserve"> group</w:t>
      </w:r>
      <w:r w:rsidR="00A01013">
        <w:rPr>
          <w:rFonts w:eastAsiaTheme="minorEastAsia"/>
        </w:rPr>
        <w:t>ing</w:t>
      </w:r>
      <w:r w:rsidR="00090808">
        <w:rPr>
          <w:rFonts w:eastAsiaTheme="minorEastAsia"/>
        </w:rPr>
        <w:t xml:space="preserve"> variable</w:t>
      </w:r>
      <w:r w:rsidR="00C06EAD">
        <w:rPr>
          <w:rFonts w:eastAsiaTheme="minorEastAsia"/>
        </w:rPr>
        <w:t xml:space="preserve"> did not converge</w:t>
      </w:r>
      <w:r w:rsidR="00A01013">
        <w:rPr>
          <w:rFonts w:eastAsiaTheme="minorEastAsia"/>
        </w:rPr>
        <w:t>,</w:t>
      </w:r>
      <w:r w:rsidR="00090808">
        <w:rPr>
          <w:rFonts w:eastAsiaTheme="minorEastAsia"/>
        </w:rPr>
        <w:t xml:space="preserve"> so </w:t>
      </w:r>
      <w:r w:rsidR="00A01013">
        <w:rPr>
          <w:rFonts w:eastAsiaTheme="minorEastAsia"/>
        </w:rPr>
        <w:t>we did not consider its results further</w:t>
      </w:r>
      <w:r w:rsidR="00090808">
        <w:rPr>
          <w:rFonts w:eastAsiaTheme="minorEastAsia"/>
        </w:rPr>
        <w:t xml:space="preserve">. </w:t>
      </w:r>
      <w:r>
        <w:rPr>
          <w:rFonts w:eastAsiaTheme="minorEastAsia"/>
        </w:rPr>
        <w:t xml:space="preserve">We ran 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3A46FF">
        <w:rPr>
          <w:rFonts w:eastAsiaTheme="minorEastAsia"/>
        </w:rPr>
        <w:t>derived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A37FD2">
        <w:rPr>
          <w:rFonts w:eastAsiaTheme="minorEastAsia"/>
        </w:rPr>
        <w:t>, median,</w:t>
      </w:r>
      <w:r>
        <w:rPr>
          <w:rFonts w:eastAsiaTheme="minorEastAsia"/>
        </w:rPr>
        <w:t xml:space="preserve"> and </w:t>
      </w:r>
      <w:r w:rsidR="00A37FD2">
        <w:rPr>
          <w:rFonts w:eastAsiaTheme="minorEastAsia"/>
        </w:rPr>
        <w:t>standard deviation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 xml:space="preserve">base, season, </w:t>
      </w:r>
      <w:r w:rsidR="00070162">
        <w:rPr>
          <w:rFonts w:eastAsiaTheme="minorEastAsia"/>
        </w:rPr>
        <w:lastRenderedPageBreak/>
        <w:t xml:space="preserve">and age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age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1E1844EA"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we used to </w:t>
      </w:r>
      <w:r w:rsidR="00356A82">
        <w:t>represent</w:t>
      </w:r>
      <w:r w:rsidR="00A5251B">
        <w:t xml:space="preserve"> the proportion of locations 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2290A9B5" w:rsidR="007009AC" w:rsidRDefault="007009AC" w:rsidP="000D609A">
      <w:pPr>
        <w:spacing w:line="480" w:lineRule="auto"/>
        <w:rPr>
          <w:b/>
          <w:bCs/>
        </w:rPr>
      </w:pPr>
      <w:r>
        <w:rPr>
          <w:b/>
          <w:bCs/>
        </w:rPr>
        <w:t>3 Results</w:t>
      </w:r>
    </w:p>
    <w:p w14:paraId="3B389F05" w14:textId="493B6B79" w:rsidR="008D3E3D" w:rsidRDefault="00295708" w:rsidP="00542E39">
      <w:pPr>
        <w:spacing w:line="480" w:lineRule="auto"/>
      </w:pPr>
      <w:r>
        <w:lastRenderedPageBreak/>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131</w:t>
      </w:r>
      <w:r w:rsidR="003E6510">
        <w:t>–</w:t>
      </w:r>
      <w:r w:rsidR="00EC6BEA">
        <w:t>161</w:t>
      </w:r>
      <w:r w:rsidR="00A51234">
        <w:t>)</w:t>
      </w:r>
      <w:r w:rsidR="00A9200F">
        <w:t>.</w:t>
      </w:r>
      <w:r w:rsidR="00475F41">
        <w:t xml:space="preserve"> </w:t>
      </w:r>
      <w:r w:rsidR="00954638">
        <w:t xml:space="preserve">The </w:t>
      </w:r>
      <w:r w:rsidR="00BF25C3">
        <w:t>season</w:t>
      </w:r>
      <w:r w:rsidR="00954638">
        <w:t xml:space="preserve"> model </w:t>
      </w:r>
      <w:r w:rsidR="0099295A">
        <w:t>identified</w:t>
      </w:r>
      <w:r w:rsidR="00BF25C3">
        <w:t xml:space="preserve"> </w:t>
      </w:r>
      <w:r w:rsidR="00DE55A8">
        <w:t>78</w:t>
      </w:r>
      <w:r w:rsidR="00BF25C3">
        <w:t xml:space="preserve"> flight locations in the fall (95% CRI: </w:t>
      </w:r>
      <w:r w:rsidR="00E80AA2">
        <w:t>67</w:t>
      </w:r>
      <w:r w:rsidR="00BF25C3">
        <w:t>–</w:t>
      </w:r>
      <w:r w:rsidR="00E80AA2">
        <w:t>90</w:t>
      </w:r>
      <w:r w:rsidR="00BF25C3">
        <w:t xml:space="preserve">) and </w:t>
      </w:r>
      <w:r w:rsidR="00E80AA2">
        <w:t>65</w:t>
      </w:r>
      <w:r w:rsidR="00BF25C3">
        <w:t xml:space="preserve"> in the spring (95% CRI: </w:t>
      </w:r>
      <w:r w:rsidR="00E80AA2">
        <w:t>58</w:t>
      </w:r>
      <w:r w:rsidR="00BF25C3">
        <w:t>–</w:t>
      </w:r>
      <w:r w:rsidR="00E80AA2">
        <w:t>74</w:t>
      </w:r>
      <w:r w:rsidR="00BF25C3">
        <w:t>)</w:t>
      </w:r>
      <w:r w:rsidR="00CE2FF1">
        <w:t>, while t</w:t>
      </w:r>
      <w:r w:rsidR="00BF25C3">
        <w:t xml:space="preserve">he age model </w:t>
      </w:r>
      <w:r w:rsidR="0099295A">
        <w:t>identified</w:t>
      </w:r>
      <w:r w:rsidR="00BF25C3">
        <w:t xml:space="preserve"> </w:t>
      </w:r>
      <w:r w:rsidR="00660159">
        <w:t>58</w:t>
      </w:r>
      <w:r w:rsidR="00B263B8">
        <w:t xml:space="preserve"> flight locations among adults (95% CRI: </w:t>
      </w:r>
      <w:r w:rsidR="00660159">
        <w:t>51</w:t>
      </w:r>
      <w:r w:rsidR="00B263B8">
        <w:t>–</w:t>
      </w:r>
      <w:r w:rsidR="00660159">
        <w:t>67</w:t>
      </w:r>
      <w:r w:rsidR="00B263B8">
        <w:t xml:space="preserve">) and </w:t>
      </w:r>
      <w:r w:rsidR="00660159">
        <w:t>80</w:t>
      </w:r>
      <w:r w:rsidR="00B263B8">
        <w:t xml:space="preserve"> locations among juveniles (95% CRI: </w:t>
      </w:r>
      <w:r w:rsidR="00E609BF">
        <w:t>71</w:t>
      </w:r>
      <w:r w:rsidR="00B263B8">
        <w:t>–</w:t>
      </w:r>
      <w:r w:rsidR="00E609BF">
        <w:t>93</w:t>
      </w:r>
      <w:r w:rsidR="00B263B8">
        <w:t>).</w:t>
      </w:r>
      <w:r w:rsidR="00DE55A8">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582E3D">
        <w:t>3</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xml:space="preserve"> (Fig. 1). Adult woodcock f</w:t>
      </w:r>
      <w:r w:rsidR="003F6DA2">
        <w:t>lew</w:t>
      </w:r>
      <w:r w:rsidR="00D93C8E">
        <w:t xml:space="preserve"> at </w:t>
      </w:r>
      <w:r w:rsidR="002601A0">
        <w:t xml:space="preserve">mean </w:t>
      </w:r>
      <w:r w:rsidR="00D93C8E">
        <w:t xml:space="preserve">altitudes of </w:t>
      </w:r>
      <w:r w:rsidR="00C14C81">
        <w:t>397</w:t>
      </w:r>
      <w:r w:rsidR="002601A0">
        <w:t>m while juvenile</w:t>
      </w:r>
      <w:r w:rsidR="009E4DA3">
        <w:t>s f</w:t>
      </w:r>
      <w:r w:rsidR="003F6DA2">
        <w:t>lew</w:t>
      </w:r>
      <w:r w:rsidR="009E4DA3">
        <w:t xml:space="preserve"> at altitudes of </w:t>
      </w:r>
      <w:r w:rsidR="00EF70E9">
        <w:t>34</w:t>
      </w:r>
      <w:r w:rsidR="002829A8">
        <w:t>3</w:t>
      </w:r>
      <w:r w:rsidR="009E4DA3">
        <w:t>m, with</w:t>
      </w:r>
      <w:r w:rsidR="00143425">
        <w:t xml:space="preserve"> 79% probability that mean flight altitudes are high</w:t>
      </w:r>
      <w:r w:rsidR="00B3593D">
        <w:t>er for adults than juveniles</w:t>
      </w:r>
      <w:r w:rsidR="00471DA6">
        <w:t xml:space="preserve"> (</w:t>
      </w:r>
      <w:r w:rsidR="001F0E2B">
        <w:t>Fig. 2</w:t>
      </w:r>
      <w:r w:rsidR="00471DA6">
        <w:t>).</w:t>
      </w:r>
      <w:r w:rsidR="003321FE">
        <w:t xml:space="preserve"> </w:t>
      </w:r>
    </w:p>
    <w:p w14:paraId="1D25D052" w14:textId="6918B29B"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 3).</w:t>
      </w:r>
      <w:r w:rsidR="00B91C6A">
        <w:t xml:space="preserve"> </w:t>
      </w:r>
      <w:r w:rsidR="00FB7994">
        <w:t>Woodcock were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6D435DE5"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a base model (bold) as well as season and age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7D741033" w:rsidR="005B49D7" w:rsidRPr="00DA1989" w:rsidRDefault="000A627F" w:rsidP="00BD0A0C">
            <w:pPr>
              <w:spacing w:after="120"/>
              <w:rPr>
                <w:b/>
                <w:bCs/>
              </w:rPr>
            </w:pPr>
            <w:r>
              <w:rPr>
                <w:b/>
                <w:bCs/>
              </w:rPr>
              <w:t>262m</w:t>
            </w:r>
          </w:p>
        </w:tc>
        <w:tc>
          <w:tcPr>
            <w:tcW w:w="2338" w:type="dxa"/>
            <w:tcBorders>
              <w:left w:val="nil"/>
              <w:bottom w:val="nil"/>
              <w:right w:val="nil"/>
            </w:tcBorders>
          </w:tcPr>
          <w:p w14:paraId="2C0517CB" w14:textId="6BBC1EB6" w:rsidR="005B49D7" w:rsidRPr="00DA1989" w:rsidRDefault="00D90A4E" w:rsidP="00BD0A0C">
            <w:pPr>
              <w:spacing w:after="120"/>
              <w:rPr>
                <w:b/>
                <w:bCs/>
              </w:rPr>
            </w:pPr>
            <w:r w:rsidRPr="00D90A4E">
              <w:rPr>
                <w:b/>
                <w:bCs/>
              </w:rPr>
              <w:t>2</w:t>
            </w:r>
            <w:r>
              <w:rPr>
                <w:b/>
                <w:bCs/>
              </w:rPr>
              <w:t>40–</w:t>
            </w:r>
            <w:r w:rsidRPr="00D90A4E">
              <w:rPr>
                <w:b/>
                <w:bCs/>
              </w:rPr>
              <w:t>286</w:t>
            </w:r>
            <w:r>
              <w:rPr>
                <w:b/>
                <w:bCs/>
              </w:rPr>
              <w:t>m</w:t>
            </w:r>
          </w:p>
        </w:tc>
        <w:tc>
          <w:tcPr>
            <w:tcW w:w="2338" w:type="dxa"/>
            <w:tcBorders>
              <w:left w:val="nil"/>
              <w:bottom w:val="nil"/>
              <w:right w:val="nil"/>
            </w:tcBorders>
          </w:tcPr>
          <w:p w14:paraId="5A6E91BF" w14:textId="746A27F5" w:rsidR="005B49D7" w:rsidRPr="00DA1989" w:rsidRDefault="00DB2B60" w:rsidP="00BD0A0C">
            <w:pPr>
              <w:spacing w:after="120"/>
              <w:rPr>
                <w:b/>
                <w:bCs/>
              </w:rPr>
            </w:pPr>
            <w:r w:rsidRPr="00DB2B60">
              <w:rPr>
                <w:b/>
                <w:bCs/>
              </w:rPr>
              <w:t>194</w:t>
            </w:r>
            <w:r>
              <w:rPr>
                <w:b/>
                <w:bCs/>
              </w:rPr>
              <w:t>–</w:t>
            </w:r>
            <w:r w:rsidRPr="00DB2B60">
              <w:rPr>
                <w:b/>
                <w:bCs/>
              </w:rPr>
              <w:t>331</w:t>
            </w:r>
            <w:r>
              <w:rPr>
                <w:b/>
                <w:bCs/>
              </w:rPr>
              <w:t>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1C05DECF" w:rsidR="00F14154" w:rsidRPr="00DA1989" w:rsidRDefault="000278C4" w:rsidP="00BD0A0C">
            <w:pPr>
              <w:spacing w:after="120"/>
            </w:pPr>
            <w:r w:rsidRPr="000278C4">
              <w:t>22</w:t>
            </w:r>
            <w:r>
              <w:t>4m</w:t>
            </w:r>
          </w:p>
        </w:tc>
        <w:tc>
          <w:tcPr>
            <w:tcW w:w="2338" w:type="dxa"/>
            <w:tcBorders>
              <w:top w:val="nil"/>
              <w:left w:val="nil"/>
              <w:bottom w:val="nil"/>
              <w:right w:val="nil"/>
            </w:tcBorders>
          </w:tcPr>
          <w:p w14:paraId="6753CA10" w14:textId="53D719DC" w:rsidR="00F14154" w:rsidRPr="00DA1989" w:rsidRDefault="00F364B3" w:rsidP="00BD0A0C">
            <w:pPr>
              <w:spacing w:after="120"/>
            </w:pPr>
            <w:r w:rsidRPr="00F364B3">
              <w:t>19</w:t>
            </w:r>
            <w:r>
              <w:t>3–</w:t>
            </w:r>
            <w:r w:rsidRPr="00F364B3">
              <w:t>24</w:t>
            </w:r>
            <w:r>
              <w:t>9m</w:t>
            </w:r>
          </w:p>
        </w:tc>
        <w:tc>
          <w:tcPr>
            <w:tcW w:w="2338" w:type="dxa"/>
            <w:tcBorders>
              <w:top w:val="nil"/>
              <w:left w:val="nil"/>
              <w:bottom w:val="nil"/>
              <w:right w:val="nil"/>
            </w:tcBorders>
          </w:tcPr>
          <w:p w14:paraId="147BA553" w14:textId="739A7634" w:rsidR="00F14154" w:rsidRPr="00DA1989" w:rsidRDefault="00F364B3" w:rsidP="00BD0A0C">
            <w:pPr>
              <w:spacing w:after="120"/>
            </w:pPr>
            <w:r w:rsidRPr="00F364B3">
              <w:t>14</w:t>
            </w:r>
            <w:r>
              <w:t>5–</w:t>
            </w:r>
            <w:r w:rsidRPr="00F364B3">
              <w:t>30</w:t>
            </w:r>
            <w:r>
              <w:t>8m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436D451" w:rsidR="00F14154" w:rsidRPr="00DA1989" w:rsidRDefault="007A13A2" w:rsidP="00BD0A0C">
            <w:pPr>
              <w:spacing w:after="120"/>
            </w:pPr>
            <w:r w:rsidRPr="007A13A2">
              <w:t>3</w:t>
            </w:r>
            <w:r>
              <w:t>20m</w:t>
            </w:r>
          </w:p>
        </w:tc>
        <w:tc>
          <w:tcPr>
            <w:tcW w:w="2338" w:type="dxa"/>
            <w:tcBorders>
              <w:top w:val="nil"/>
              <w:left w:val="nil"/>
              <w:bottom w:val="nil"/>
              <w:right w:val="nil"/>
            </w:tcBorders>
          </w:tcPr>
          <w:p w14:paraId="3607528C" w14:textId="78827795" w:rsidR="00F14154" w:rsidRPr="00DA1989" w:rsidRDefault="007A13A2" w:rsidP="00BD0A0C">
            <w:pPr>
              <w:spacing w:after="120"/>
            </w:pPr>
            <w:r w:rsidRPr="007A13A2">
              <w:t>28</w:t>
            </w:r>
            <w:r>
              <w:t>3–</w:t>
            </w:r>
            <w:r w:rsidRPr="007A13A2">
              <w:t>35</w:t>
            </w:r>
            <w:r>
              <w:t>6m</w:t>
            </w:r>
          </w:p>
        </w:tc>
        <w:tc>
          <w:tcPr>
            <w:tcW w:w="2338" w:type="dxa"/>
            <w:tcBorders>
              <w:top w:val="nil"/>
              <w:left w:val="nil"/>
              <w:bottom w:val="nil"/>
              <w:right w:val="nil"/>
            </w:tcBorders>
          </w:tcPr>
          <w:p w14:paraId="51F68E83" w14:textId="4DD3FFAF" w:rsidR="00F14154" w:rsidRPr="00DA1989" w:rsidRDefault="00522DA6" w:rsidP="00BD0A0C">
            <w:pPr>
              <w:spacing w:after="120"/>
            </w:pPr>
            <w:r w:rsidRPr="00522DA6">
              <w:t>215</w:t>
            </w:r>
            <w:r>
              <w:t>–</w:t>
            </w:r>
            <w:r w:rsidRPr="00522DA6">
              <w:t>42</w:t>
            </w:r>
            <w:r>
              <w:t>6m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76EAFB27" w:rsidR="00BA52D1" w:rsidRDefault="007E2B61" w:rsidP="00BD0A0C">
            <w:pPr>
              <w:spacing w:after="120"/>
            </w:pPr>
            <w:r w:rsidRPr="007E2B61">
              <w:t>294</w:t>
            </w:r>
            <w:r w:rsidR="00BF261A">
              <w:t>m</w:t>
            </w:r>
          </w:p>
        </w:tc>
        <w:tc>
          <w:tcPr>
            <w:tcW w:w="2338" w:type="dxa"/>
            <w:tcBorders>
              <w:top w:val="nil"/>
              <w:left w:val="nil"/>
              <w:bottom w:val="nil"/>
              <w:right w:val="nil"/>
            </w:tcBorders>
          </w:tcPr>
          <w:p w14:paraId="3E9EBC14" w14:textId="38284CE9" w:rsidR="00BA52D1" w:rsidRDefault="00E5592B" w:rsidP="00BD0A0C">
            <w:pPr>
              <w:spacing w:after="120"/>
            </w:pPr>
            <w:r w:rsidRPr="00E5592B">
              <w:t>256</w:t>
            </w:r>
            <w:r w:rsidR="00BF261A">
              <w:t>–</w:t>
            </w:r>
            <w:r w:rsidRPr="00E5592B">
              <w:t>334</w:t>
            </w:r>
            <w:r w:rsidR="00BF261A">
              <w:t>m</w:t>
            </w:r>
          </w:p>
        </w:tc>
        <w:tc>
          <w:tcPr>
            <w:tcW w:w="2338" w:type="dxa"/>
            <w:tcBorders>
              <w:top w:val="nil"/>
              <w:left w:val="nil"/>
              <w:bottom w:val="nil"/>
              <w:right w:val="nil"/>
            </w:tcBorders>
          </w:tcPr>
          <w:p w14:paraId="6AA2161E" w14:textId="2713C123" w:rsidR="00BA52D1" w:rsidRDefault="00E5592B" w:rsidP="00BD0A0C">
            <w:pPr>
              <w:spacing w:after="120"/>
            </w:pPr>
            <w:r w:rsidRPr="00E5592B">
              <w:t>18</w:t>
            </w:r>
            <w:r w:rsidR="00BF261A">
              <w:t>1–</w:t>
            </w:r>
            <w:r w:rsidRPr="00E5592B">
              <w:t>40</w:t>
            </w:r>
            <w:r w:rsidR="00BF261A">
              <w:t>3m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3E2CE179" w:rsidR="00BA52D1" w:rsidRDefault="00E5592B" w:rsidP="00BD0A0C">
            <w:pPr>
              <w:spacing w:after="120"/>
            </w:pPr>
            <w:r w:rsidRPr="00E5592B">
              <w:t>2</w:t>
            </w:r>
            <w:r w:rsidR="0029046E">
              <w:t>60m</w:t>
            </w:r>
          </w:p>
        </w:tc>
        <w:tc>
          <w:tcPr>
            <w:tcW w:w="2338" w:type="dxa"/>
            <w:tcBorders>
              <w:top w:val="nil"/>
              <w:left w:val="nil"/>
              <w:bottom w:val="nil"/>
              <w:right w:val="nil"/>
            </w:tcBorders>
          </w:tcPr>
          <w:p w14:paraId="3C252399" w14:textId="291B5AEA" w:rsidR="00BA52D1" w:rsidRDefault="0029046E" w:rsidP="00BD0A0C">
            <w:pPr>
              <w:spacing w:after="120"/>
            </w:pPr>
            <w:r w:rsidRPr="0029046E">
              <w:t>22</w:t>
            </w:r>
            <w:r>
              <w:t>9–</w:t>
            </w:r>
            <w:r w:rsidRPr="0029046E">
              <w:t>28</w:t>
            </w:r>
            <w:r>
              <w:t>7m</w:t>
            </w:r>
          </w:p>
        </w:tc>
        <w:tc>
          <w:tcPr>
            <w:tcW w:w="2338" w:type="dxa"/>
            <w:tcBorders>
              <w:top w:val="nil"/>
              <w:left w:val="nil"/>
              <w:bottom w:val="nil"/>
              <w:right w:val="nil"/>
            </w:tcBorders>
          </w:tcPr>
          <w:p w14:paraId="77D38A1B" w14:textId="2057ACD8" w:rsidR="00BA52D1" w:rsidRDefault="0029046E" w:rsidP="00BD0A0C">
            <w:pPr>
              <w:spacing w:after="120"/>
            </w:pPr>
            <w:r w:rsidRPr="0029046E">
              <w:t>17</w:t>
            </w:r>
            <w:r>
              <w:t>9–</w:t>
            </w:r>
            <w:r w:rsidRPr="0029046E">
              <w:t>34</w:t>
            </w:r>
            <w:r>
              <w:t>2m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4CDC5874" w:rsidR="005B49D7" w:rsidRPr="00BC43FC" w:rsidRDefault="00D91CD5" w:rsidP="00BD0A0C">
            <w:pPr>
              <w:spacing w:after="120"/>
              <w:rPr>
                <w:b/>
                <w:bCs/>
              </w:rPr>
            </w:pPr>
            <w:r w:rsidRPr="00D91CD5">
              <w:rPr>
                <w:b/>
                <w:bCs/>
              </w:rPr>
              <w:t>36</w:t>
            </w:r>
            <w:r>
              <w:rPr>
                <w:b/>
                <w:bCs/>
              </w:rPr>
              <w:t>3m</w:t>
            </w:r>
          </w:p>
        </w:tc>
        <w:tc>
          <w:tcPr>
            <w:tcW w:w="2338" w:type="dxa"/>
            <w:tcBorders>
              <w:top w:val="nil"/>
              <w:left w:val="nil"/>
              <w:bottom w:val="nil"/>
              <w:right w:val="nil"/>
            </w:tcBorders>
          </w:tcPr>
          <w:p w14:paraId="449B303F" w14:textId="350713AD" w:rsidR="005B49D7" w:rsidRPr="00BC43FC" w:rsidRDefault="00D91CD5" w:rsidP="00BD0A0C">
            <w:pPr>
              <w:spacing w:after="120"/>
              <w:rPr>
                <w:b/>
                <w:bCs/>
              </w:rPr>
            </w:pPr>
            <w:r w:rsidRPr="00D91CD5">
              <w:rPr>
                <w:b/>
                <w:bCs/>
              </w:rPr>
              <w:t>339</w:t>
            </w:r>
            <w:r>
              <w:rPr>
                <w:b/>
                <w:bCs/>
              </w:rPr>
              <w:t>–</w:t>
            </w:r>
            <w:r w:rsidRPr="00D91CD5">
              <w:rPr>
                <w:b/>
                <w:bCs/>
              </w:rPr>
              <w:t>38</w:t>
            </w:r>
            <w:r>
              <w:rPr>
                <w:b/>
                <w:bCs/>
              </w:rPr>
              <w:t>5m</w:t>
            </w:r>
          </w:p>
        </w:tc>
        <w:tc>
          <w:tcPr>
            <w:tcW w:w="2338" w:type="dxa"/>
            <w:tcBorders>
              <w:top w:val="nil"/>
              <w:left w:val="nil"/>
              <w:bottom w:val="nil"/>
              <w:right w:val="nil"/>
            </w:tcBorders>
          </w:tcPr>
          <w:p w14:paraId="1096C824" w14:textId="652C8AAD" w:rsidR="005B49D7" w:rsidRPr="00BC43FC" w:rsidRDefault="0099563C" w:rsidP="00BD0A0C">
            <w:pPr>
              <w:spacing w:after="120"/>
              <w:rPr>
                <w:b/>
                <w:bCs/>
              </w:rPr>
            </w:pPr>
            <w:r w:rsidRPr="0099563C">
              <w:rPr>
                <w:b/>
                <w:bCs/>
              </w:rPr>
              <w:t>29</w:t>
            </w:r>
            <w:r w:rsidR="003D7B6C">
              <w:rPr>
                <w:b/>
                <w:bCs/>
              </w:rPr>
              <w:t>9</w:t>
            </w:r>
            <w:r>
              <w:rPr>
                <w:b/>
                <w:bCs/>
              </w:rPr>
              <w:t>–</w:t>
            </w:r>
            <w:r w:rsidRPr="0099563C">
              <w:rPr>
                <w:b/>
                <w:bCs/>
              </w:rPr>
              <w:t>430</w:t>
            </w:r>
            <w:r>
              <w:rPr>
                <w:b/>
                <w:bCs/>
              </w:rPr>
              <w:t>m</w:t>
            </w:r>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60BE7212" w:rsidR="00BA52D1" w:rsidRDefault="003F2A3F" w:rsidP="00BD0A0C">
            <w:pPr>
              <w:spacing w:after="120"/>
            </w:pPr>
            <w:r w:rsidRPr="003F2A3F">
              <w:t>310</w:t>
            </w:r>
            <w:r w:rsidR="00BD3B28">
              <w:t>m</w:t>
            </w:r>
          </w:p>
        </w:tc>
        <w:tc>
          <w:tcPr>
            <w:tcW w:w="2338" w:type="dxa"/>
            <w:tcBorders>
              <w:top w:val="nil"/>
              <w:left w:val="nil"/>
              <w:bottom w:val="nil"/>
              <w:right w:val="nil"/>
            </w:tcBorders>
          </w:tcPr>
          <w:p w14:paraId="173A2D9A" w14:textId="11D3586A" w:rsidR="00BA52D1" w:rsidRDefault="009A1977" w:rsidP="00BD0A0C">
            <w:pPr>
              <w:spacing w:after="120"/>
            </w:pPr>
            <w:r w:rsidRPr="009A1977">
              <w:t>279</w:t>
            </w:r>
            <w:r w:rsidR="00BD3B28">
              <w:t>–</w:t>
            </w:r>
            <w:r w:rsidRPr="009A1977">
              <w:t>33</w:t>
            </w:r>
            <w:r w:rsidR="00BD3B28">
              <w:t>4m</w:t>
            </w:r>
          </w:p>
        </w:tc>
        <w:tc>
          <w:tcPr>
            <w:tcW w:w="2338" w:type="dxa"/>
            <w:tcBorders>
              <w:top w:val="nil"/>
              <w:left w:val="nil"/>
              <w:bottom w:val="nil"/>
              <w:right w:val="nil"/>
            </w:tcBorders>
          </w:tcPr>
          <w:p w14:paraId="2DF43374" w14:textId="697A1FA8" w:rsidR="00BA52D1" w:rsidRDefault="009A1977" w:rsidP="00BD0A0C">
            <w:pPr>
              <w:spacing w:after="120"/>
            </w:pPr>
            <w:r w:rsidRPr="009A1977">
              <w:t>23</w:t>
            </w:r>
            <w:r w:rsidR="00BD3B28">
              <w:t>5</w:t>
            </w:r>
            <w:r w:rsidR="007D041D">
              <w:t>–</w:t>
            </w:r>
            <w:r w:rsidRPr="009A1977">
              <w:t>393</w:t>
            </w:r>
            <w:r w:rsidR="007D041D">
              <w:t>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6C722137" w:rsidR="00BA52D1" w:rsidRDefault="009A1977" w:rsidP="00BD0A0C">
            <w:pPr>
              <w:spacing w:after="120"/>
            </w:pPr>
            <w:r w:rsidRPr="009A1977">
              <w:t>42</w:t>
            </w:r>
            <w:r w:rsidR="00BD3B28">
              <w:t>7m</w:t>
            </w:r>
          </w:p>
        </w:tc>
        <w:tc>
          <w:tcPr>
            <w:tcW w:w="2338" w:type="dxa"/>
            <w:tcBorders>
              <w:top w:val="nil"/>
              <w:left w:val="nil"/>
              <w:bottom w:val="nil"/>
              <w:right w:val="nil"/>
            </w:tcBorders>
          </w:tcPr>
          <w:p w14:paraId="6E1BD128" w14:textId="73F3F0C8" w:rsidR="00BA52D1" w:rsidRDefault="00BD3B28" w:rsidP="00BD0A0C">
            <w:pPr>
              <w:spacing w:after="120"/>
            </w:pPr>
            <w:r w:rsidRPr="00BD3B28">
              <w:t>39</w:t>
            </w:r>
            <w:r w:rsidR="007D041D">
              <w:t>2–</w:t>
            </w:r>
            <w:r w:rsidRPr="00BD3B28">
              <w:t>46</w:t>
            </w:r>
            <w:r w:rsidR="007D041D">
              <w:t>3m</w:t>
            </w:r>
          </w:p>
        </w:tc>
        <w:tc>
          <w:tcPr>
            <w:tcW w:w="2338" w:type="dxa"/>
            <w:tcBorders>
              <w:top w:val="nil"/>
              <w:left w:val="nil"/>
              <w:bottom w:val="nil"/>
              <w:right w:val="nil"/>
            </w:tcBorders>
          </w:tcPr>
          <w:p w14:paraId="3C33CDD6" w14:textId="4273CB9C" w:rsidR="00BA52D1" w:rsidRDefault="00BD3B28" w:rsidP="00BD0A0C">
            <w:pPr>
              <w:spacing w:after="120"/>
            </w:pPr>
            <w:r w:rsidRPr="00BD3B28">
              <w:t>32</w:t>
            </w:r>
            <w:r w:rsidR="007D041D">
              <w:t>4</w:t>
            </w:r>
            <w:r w:rsidR="003228FD">
              <w:t>–</w:t>
            </w:r>
            <w:r w:rsidRPr="00BD3B28">
              <w:t>536</w:t>
            </w:r>
            <w:r w:rsidR="003228FD">
              <w:t>m</w:t>
            </w:r>
          </w:p>
        </w:tc>
      </w:tr>
      <w:tr w:rsidR="00BA52D1" w14:paraId="2C638EFC" w14:textId="77777777" w:rsidTr="005C505F">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398AD085" w:rsidR="00BA52D1" w:rsidRDefault="000B6285" w:rsidP="00BD0A0C">
            <w:pPr>
              <w:spacing w:after="120"/>
            </w:pPr>
            <w:r w:rsidRPr="000B6285">
              <w:t>397</w:t>
            </w:r>
            <w:r w:rsidR="00C02315">
              <w:t>m</w:t>
            </w:r>
          </w:p>
        </w:tc>
        <w:tc>
          <w:tcPr>
            <w:tcW w:w="2338" w:type="dxa"/>
            <w:tcBorders>
              <w:top w:val="nil"/>
              <w:left w:val="nil"/>
              <w:bottom w:val="nil"/>
              <w:right w:val="nil"/>
            </w:tcBorders>
          </w:tcPr>
          <w:p w14:paraId="003861A4" w14:textId="319EBB2C" w:rsidR="00BA52D1" w:rsidRDefault="001357D3" w:rsidP="00BD0A0C">
            <w:pPr>
              <w:spacing w:after="120"/>
            </w:pPr>
            <w:r w:rsidRPr="001357D3">
              <w:t>35</w:t>
            </w:r>
            <w:r w:rsidR="00D027B2">
              <w:t>5–</w:t>
            </w:r>
            <w:r w:rsidRPr="001357D3">
              <w:t>43</w:t>
            </w:r>
            <w:r w:rsidR="00D027B2">
              <w:t>1m</w:t>
            </w:r>
          </w:p>
        </w:tc>
        <w:tc>
          <w:tcPr>
            <w:tcW w:w="2338" w:type="dxa"/>
            <w:tcBorders>
              <w:top w:val="nil"/>
              <w:left w:val="nil"/>
              <w:bottom w:val="nil"/>
              <w:right w:val="nil"/>
            </w:tcBorders>
          </w:tcPr>
          <w:p w14:paraId="0E068D33" w14:textId="061F2022" w:rsidR="00BA52D1" w:rsidRDefault="001357D3" w:rsidP="00BD0A0C">
            <w:pPr>
              <w:spacing w:after="120"/>
            </w:pPr>
            <w:r w:rsidRPr="001357D3">
              <w:t>295</w:t>
            </w:r>
            <w:r w:rsidR="00D027B2">
              <w:t>–</w:t>
            </w:r>
            <w:r w:rsidRPr="001357D3">
              <w:t>50</w:t>
            </w:r>
            <w:r w:rsidR="00D027B2">
              <w:t>9m</w:t>
            </w:r>
          </w:p>
        </w:tc>
      </w:tr>
      <w:tr w:rsidR="00BA52D1" w14:paraId="72C44286" w14:textId="77777777" w:rsidTr="005C505F">
        <w:trPr>
          <w:trHeight w:val="360"/>
        </w:trPr>
        <w:tc>
          <w:tcPr>
            <w:tcW w:w="2515" w:type="dxa"/>
            <w:tcBorders>
              <w:top w:val="nil"/>
              <w:left w:val="nil"/>
              <w:bottom w:val="single" w:sz="4" w:space="0" w:color="auto"/>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single" w:sz="4" w:space="0" w:color="auto"/>
              <w:right w:val="nil"/>
            </w:tcBorders>
          </w:tcPr>
          <w:p w14:paraId="332B3797" w14:textId="5136DAF6" w:rsidR="00BA52D1" w:rsidRDefault="001357D3" w:rsidP="00BD0A0C">
            <w:pPr>
              <w:spacing w:after="120"/>
            </w:pPr>
            <w:r w:rsidRPr="001357D3">
              <w:t>34</w:t>
            </w:r>
            <w:r w:rsidR="00D027B2">
              <w:t>3m</w:t>
            </w:r>
          </w:p>
        </w:tc>
        <w:tc>
          <w:tcPr>
            <w:tcW w:w="2338" w:type="dxa"/>
            <w:tcBorders>
              <w:top w:val="nil"/>
              <w:left w:val="nil"/>
              <w:bottom w:val="single" w:sz="4" w:space="0" w:color="auto"/>
              <w:right w:val="nil"/>
            </w:tcBorders>
          </w:tcPr>
          <w:p w14:paraId="1C007A91" w14:textId="710AD808" w:rsidR="00BA52D1" w:rsidRDefault="00C02315" w:rsidP="00BD0A0C">
            <w:pPr>
              <w:spacing w:after="120"/>
            </w:pPr>
            <w:r w:rsidRPr="00C02315">
              <w:t>313</w:t>
            </w:r>
            <w:r w:rsidR="00D027B2">
              <w:t>–</w:t>
            </w:r>
            <w:r w:rsidRPr="00C02315">
              <w:t>367</w:t>
            </w:r>
            <w:r w:rsidR="00D027B2">
              <w:t>m</w:t>
            </w:r>
          </w:p>
        </w:tc>
        <w:tc>
          <w:tcPr>
            <w:tcW w:w="2338" w:type="dxa"/>
            <w:tcBorders>
              <w:top w:val="nil"/>
              <w:left w:val="nil"/>
              <w:bottom w:val="single" w:sz="4" w:space="0" w:color="auto"/>
              <w:right w:val="nil"/>
            </w:tcBorders>
          </w:tcPr>
          <w:p w14:paraId="596AD6EE" w14:textId="7F0E0F85" w:rsidR="00BA52D1" w:rsidRDefault="00C02315" w:rsidP="00BD0A0C">
            <w:pPr>
              <w:spacing w:after="120"/>
            </w:pPr>
            <w:r w:rsidRPr="00C02315">
              <w:t>26</w:t>
            </w:r>
            <w:r w:rsidR="00D027B2">
              <w:t>6–</w:t>
            </w:r>
            <w:r w:rsidRPr="00C02315">
              <w:t>425</w:t>
            </w:r>
            <w:r w:rsidR="003D7B6C">
              <w:t>m</w:t>
            </w:r>
          </w:p>
        </w:tc>
      </w:tr>
    </w:tbl>
    <w:p w14:paraId="724B103B" w14:textId="77777777" w:rsidR="004D5A0B" w:rsidRDefault="004D5A0B">
      <w:r>
        <w:br w:type="page"/>
      </w:r>
    </w:p>
    <w:p w14:paraId="4D4E6CA2" w14:textId="0D394FEF"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p>
    <w:tbl>
      <w:tblPr>
        <w:tblStyle w:val="TableGrid"/>
        <w:tblW w:w="0" w:type="auto"/>
        <w:tblLook w:val="04A0" w:firstRow="1" w:lastRow="0" w:firstColumn="1" w:lastColumn="0" w:noHBand="0" w:noVBand="1"/>
      </w:tblPr>
      <w:tblGrid>
        <w:gridCol w:w="2515"/>
        <w:gridCol w:w="2159"/>
        <w:gridCol w:w="2338"/>
        <w:gridCol w:w="2338"/>
      </w:tblGrid>
      <w:tr w:rsidR="004D5A0B" w14:paraId="36594703" w14:textId="77777777" w:rsidTr="00EA5F6F">
        <w:tc>
          <w:tcPr>
            <w:tcW w:w="2515" w:type="dxa"/>
            <w:tcBorders>
              <w:left w:val="nil"/>
              <w:bottom w:val="single" w:sz="4" w:space="0" w:color="auto"/>
              <w:right w:val="nil"/>
            </w:tcBorders>
          </w:tcPr>
          <w:p w14:paraId="44BA9893" w14:textId="77777777" w:rsidR="004D5A0B" w:rsidRDefault="004D5A0B" w:rsidP="00EA5F6F">
            <w:pPr>
              <w:spacing w:after="120"/>
            </w:pPr>
            <w:r>
              <w:t>Metric</w:t>
            </w:r>
          </w:p>
        </w:tc>
        <w:tc>
          <w:tcPr>
            <w:tcW w:w="2159" w:type="dxa"/>
            <w:tcBorders>
              <w:left w:val="nil"/>
              <w:bottom w:val="single" w:sz="4" w:space="0" w:color="auto"/>
              <w:right w:val="nil"/>
            </w:tcBorders>
          </w:tcPr>
          <w:p w14:paraId="457C2408" w14:textId="77777777" w:rsidR="004D5A0B" w:rsidRDefault="004D5A0B" w:rsidP="00EA5F6F">
            <w:pPr>
              <w:spacing w:after="120"/>
            </w:pPr>
            <w:r>
              <w:t>Estimate</w:t>
            </w:r>
          </w:p>
        </w:tc>
        <w:tc>
          <w:tcPr>
            <w:tcW w:w="2338" w:type="dxa"/>
            <w:tcBorders>
              <w:left w:val="nil"/>
              <w:bottom w:val="single" w:sz="4" w:space="0" w:color="auto"/>
              <w:right w:val="nil"/>
            </w:tcBorders>
          </w:tcPr>
          <w:p w14:paraId="467F1E93" w14:textId="77777777" w:rsidR="004D5A0B" w:rsidRDefault="004D5A0B" w:rsidP="00EA5F6F">
            <w:pPr>
              <w:spacing w:after="120"/>
            </w:pPr>
            <w:r>
              <w:t>50% Credible Interval</w:t>
            </w:r>
          </w:p>
        </w:tc>
        <w:tc>
          <w:tcPr>
            <w:tcW w:w="2338" w:type="dxa"/>
            <w:tcBorders>
              <w:left w:val="nil"/>
              <w:bottom w:val="single" w:sz="4" w:space="0" w:color="auto"/>
              <w:right w:val="nil"/>
            </w:tcBorders>
          </w:tcPr>
          <w:p w14:paraId="15C4B4D0" w14:textId="77777777" w:rsidR="004D5A0B" w:rsidRDefault="004D5A0B" w:rsidP="00EA5F6F">
            <w:pPr>
              <w:spacing w:after="120"/>
            </w:pPr>
            <w:r>
              <w:t>95% Credible Interval</w:t>
            </w:r>
          </w:p>
        </w:tc>
      </w:tr>
      <w:tr w:rsidR="004D5A0B" w14:paraId="49151ACF" w14:textId="77777777" w:rsidTr="00EA5F6F">
        <w:tc>
          <w:tcPr>
            <w:tcW w:w="2515" w:type="dxa"/>
            <w:tcBorders>
              <w:top w:val="nil"/>
              <w:left w:val="nil"/>
              <w:bottom w:val="nil"/>
              <w:right w:val="nil"/>
            </w:tcBorders>
          </w:tcPr>
          <w:p w14:paraId="468A4FB7" w14:textId="0D7F1956" w:rsidR="004D5A0B" w:rsidRPr="00DE4945" w:rsidRDefault="00744028" w:rsidP="00EA5F6F">
            <w:pPr>
              <w:spacing w:after="120"/>
              <w:rPr>
                <w:b/>
                <w:bCs/>
                <w:vertAlign w:val="superscript"/>
              </w:rPr>
            </w:pPr>
            <w:r>
              <w:rPr>
                <w:b/>
                <w:bCs/>
              </w:rPr>
              <w:t>Below</w:t>
            </w:r>
            <w:r w:rsidR="004D5A0B" w:rsidRPr="00BC43FC">
              <w:rPr>
                <w:b/>
                <w:bCs/>
              </w:rPr>
              <w:t xml:space="preserve"> NEXRAD detection altitude</w:t>
            </w:r>
            <w:r w:rsidR="004D5A0B">
              <w:rPr>
                <w:b/>
                <w:bCs/>
              </w:rPr>
              <w:t xml:space="preserve"> (120m)</w:t>
            </w:r>
            <w:r w:rsidR="004D5A0B">
              <w:rPr>
                <w:b/>
                <w:bCs/>
                <w:vertAlign w:val="superscript"/>
              </w:rPr>
              <w:t>1</w:t>
            </w:r>
          </w:p>
        </w:tc>
        <w:tc>
          <w:tcPr>
            <w:tcW w:w="2159" w:type="dxa"/>
            <w:tcBorders>
              <w:top w:val="nil"/>
              <w:left w:val="nil"/>
              <w:bottom w:val="nil"/>
              <w:right w:val="nil"/>
            </w:tcBorders>
          </w:tcPr>
          <w:p w14:paraId="4320F98B" w14:textId="35AA8666" w:rsidR="004D5A0B" w:rsidRPr="00BC43FC" w:rsidRDefault="004B33CE" w:rsidP="00EA5F6F">
            <w:pPr>
              <w:spacing w:after="120"/>
              <w:rPr>
                <w:b/>
                <w:bCs/>
              </w:rPr>
            </w:pPr>
            <w:r>
              <w:rPr>
                <w:b/>
                <w:bCs/>
              </w:rPr>
              <w:t>32%</w:t>
            </w:r>
          </w:p>
        </w:tc>
        <w:tc>
          <w:tcPr>
            <w:tcW w:w="2338" w:type="dxa"/>
            <w:tcBorders>
              <w:top w:val="nil"/>
              <w:left w:val="nil"/>
              <w:bottom w:val="nil"/>
              <w:right w:val="nil"/>
            </w:tcBorders>
          </w:tcPr>
          <w:p w14:paraId="63123012" w14:textId="66B0482E" w:rsidR="004D5A0B" w:rsidRPr="00BC43FC" w:rsidRDefault="003E10F7" w:rsidP="00EA5F6F">
            <w:pPr>
              <w:spacing w:after="120"/>
              <w:rPr>
                <w:b/>
                <w:bCs/>
              </w:rPr>
            </w:pPr>
            <w:r>
              <w:rPr>
                <w:b/>
                <w:bCs/>
              </w:rPr>
              <w:t>29–36%</w:t>
            </w:r>
          </w:p>
        </w:tc>
        <w:tc>
          <w:tcPr>
            <w:tcW w:w="2338" w:type="dxa"/>
            <w:tcBorders>
              <w:top w:val="nil"/>
              <w:left w:val="nil"/>
              <w:bottom w:val="nil"/>
              <w:right w:val="nil"/>
            </w:tcBorders>
          </w:tcPr>
          <w:p w14:paraId="4BCB15EE" w14:textId="7AF01C42" w:rsidR="004D5A0B" w:rsidRPr="00BC43FC" w:rsidRDefault="003E10F7" w:rsidP="00EA5F6F">
            <w:pPr>
              <w:spacing w:after="120"/>
              <w:rPr>
                <w:b/>
                <w:bCs/>
              </w:rPr>
            </w:pPr>
            <w:r>
              <w:rPr>
                <w:b/>
                <w:bCs/>
              </w:rPr>
              <w:t>22–43%</w:t>
            </w:r>
          </w:p>
        </w:tc>
      </w:tr>
      <w:tr w:rsidR="004D5A0B" w14:paraId="5CBD7263" w14:textId="77777777" w:rsidTr="00EA5F6F">
        <w:tc>
          <w:tcPr>
            <w:tcW w:w="2515" w:type="dxa"/>
            <w:tcBorders>
              <w:top w:val="nil"/>
              <w:left w:val="nil"/>
              <w:bottom w:val="nil"/>
              <w:right w:val="nil"/>
            </w:tcBorders>
          </w:tcPr>
          <w:p w14:paraId="49B25EC0"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5AE9C6A3" w14:textId="0FC28A6A" w:rsidR="004D5A0B" w:rsidRDefault="00A22B93" w:rsidP="00EA5F6F">
            <w:pPr>
              <w:spacing w:after="120"/>
            </w:pPr>
            <w:r>
              <w:t>37%</w:t>
            </w:r>
          </w:p>
        </w:tc>
        <w:tc>
          <w:tcPr>
            <w:tcW w:w="2338" w:type="dxa"/>
            <w:tcBorders>
              <w:top w:val="nil"/>
              <w:left w:val="nil"/>
              <w:bottom w:val="nil"/>
              <w:right w:val="nil"/>
            </w:tcBorders>
          </w:tcPr>
          <w:p w14:paraId="557641B7" w14:textId="6098A3CD" w:rsidR="004D5A0B" w:rsidRDefault="00A22B93" w:rsidP="00EA5F6F">
            <w:pPr>
              <w:spacing w:after="120"/>
            </w:pPr>
            <w:r>
              <w:t>32–42%</w:t>
            </w:r>
          </w:p>
        </w:tc>
        <w:tc>
          <w:tcPr>
            <w:tcW w:w="2338" w:type="dxa"/>
            <w:tcBorders>
              <w:top w:val="nil"/>
              <w:left w:val="nil"/>
              <w:bottom w:val="nil"/>
              <w:right w:val="nil"/>
            </w:tcBorders>
          </w:tcPr>
          <w:p w14:paraId="34C3F5E7" w14:textId="31D2DB9F" w:rsidR="004D5A0B" w:rsidRDefault="00A22B93" w:rsidP="00EA5F6F">
            <w:pPr>
              <w:spacing w:after="120"/>
            </w:pPr>
            <w:r>
              <w:t>23–51%</w:t>
            </w:r>
          </w:p>
        </w:tc>
      </w:tr>
      <w:tr w:rsidR="004D5A0B" w14:paraId="295B018F" w14:textId="77777777" w:rsidTr="00EA5F6F">
        <w:tc>
          <w:tcPr>
            <w:tcW w:w="2515" w:type="dxa"/>
            <w:tcBorders>
              <w:top w:val="nil"/>
              <w:left w:val="nil"/>
              <w:bottom w:val="nil"/>
              <w:right w:val="nil"/>
            </w:tcBorders>
          </w:tcPr>
          <w:p w14:paraId="6ADA2724"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4E1C6E7D" w14:textId="5092A083" w:rsidR="004D5A0B" w:rsidRDefault="00463DE7" w:rsidP="00EA5F6F">
            <w:pPr>
              <w:spacing w:after="120"/>
            </w:pPr>
            <w:r>
              <w:t>26%</w:t>
            </w:r>
          </w:p>
        </w:tc>
        <w:tc>
          <w:tcPr>
            <w:tcW w:w="2338" w:type="dxa"/>
            <w:tcBorders>
              <w:top w:val="nil"/>
              <w:left w:val="nil"/>
              <w:bottom w:val="nil"/>
              <w:right w:val="nil"/>
            </w:tcBorders>
          </w:tcPr>
          <w:p w14:paraId="33C78628" w14:textId="6AF4902F" w:rsidR="004D5A0B" w:rsidRDefault="00463DE7" w:rsidP="00EA5F6F">
            <w:pPr>
              <w:spacing w:after="120"/>
            </w:pPr>
            <w:r>
              <w:t>21–30%</w:t>
            </w:r>
          </w:p>
        </w:tc>
        <w:tc>
          <w:tcPr>
            <w:tcW w:w="2338" w:type="dxa"/>
            <w:tcBorders>
              <w:top w:val="nil"/>
              <w:left w:val="nil"/>
              <w:bottom w:val="nil"/>
              <w:right w:val="nil"/>
            </w:tcBorders>
          </w:tcPr>
          <w:p w14:paraId="087270B8" w14:textId="4E652E9D" w:rsidR="004D5A0B" w:rsidRDefault="002473DF" w:rsidP="00EA5F6F">
            <w:pPr>
              <w:spacing w:after="120"/>
            </w:pPr>
            <w:r>
              <w:t>13–40%</w:t>
            </w:r>
          </w:p>
        </w:tc>
      </w:tr>
      <w:tr w:rsidR="004D5A0B" w14:paraId="1D232AA2" w14:textId="77777777" w:rsidTr="00EA5F6F">
        <w:tc>
          <w:tcPr>
            <w:tcW w:w="2515" w:type="dxa"/>
            <w:tcBorders>
              <w:top w:val="nil"/>
              <w:left w:val="nil"/>
              <w:bottom w:val="nil"/>
              <w:right w:val="nil"/>
            </w:tcBorders>
          </w:tcPr>
          <w:p w14:paraId="2357A610"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48A88DA" w14:textId="1079EBF1" w:rsidR="004D5A0B" w:rsidRDefault="00157135" w:rsidP="00EA5F6F">
            <w:pPr>
              <w:spacing w:after="120"/>
            </w:pPr>
            <w:r>
              <w:t>28%</w:t>
            </w:r>
          </w:p>
        </w:tc>
        <w:tc>
          <w:tcPr>
            <w:tcW w:w="2338" w:type="dxa"/>
            <w:tcBorders>
              <w:top w:val="nil"/>
              <w:left w:val="nil"/>
              <w:bottom w:val="nil"/>
              <w:right w:val="nil"/>
            </w:tcBorders>
          </w:tcPr>
          <w:p w14:paraId="01B1199F" w14:textId="7E07C823" w:rsidR="004D5A0B" w:rsidRDefault="00F77309" w:rsidP="00EA5F6F">
            <w:pPr>
              <w:spacing w:after="120"/>
            </w:pPr>
            <w:r>
              <w:t>22–33%</w:t>
            </w:r>
          </w:p>
        </w:tc>
        <w:tc>
          <w:tcPr>
            <w:tcW w:w="2338" w:type="dxa"/>
            <w:tcBorders>
              <w:top w:val="nil"/>
              <w:left w:val="nil"/>
              <w:bottom w:val="nil"/>
              <w:right w:val="nil"/>
            </w:tcBorders>
          </w:tcPr>
          <w:p w14:paraId="02309725" w14:textId="1E34D153" w:rsidR="004D5A0B" w:rsidRDefault="00F77309" w:rsidP="00EA5F6F">
            <w:pPr>
              <w:spacing w:after="120"/>
            </w:pPr>
            <w:r>
              <w:t>14–45%</w:t>
            </w:r>
          </w:p>
        </w:tc>
      </w:tr>
      <w:tr w:rsidR="004D5A0B" w14:paraId="018BB97D" w14:textId="77777777" w:rsidTr="00EA5F6F">
        <w:tc>
          <w:tcPr>
            <w:tcW w:w="2515" w:type="dxa"/>
            <w:tcBorders>
              <w:top w:val="nil"/>
              <w:left w:val="nil"/>
              <w:bottom w:val="nil"/>
              <w:right w:val="nil"/>
            </w:tcBorders>
          </w:tcPr>
          <w:p w14:paraId="69273833" w14:textId="77777777" w:rsidR="004D5A0B" w:rsidRDefault="004D5A0B" w:rsidP="00EA5F6F">
            <w:pPr>
              <w:spacing w:after="120"/>
            </w:pPr>
            <w:r>
              <w:t xml:space="preserve">    </w:t>
            </w:r>
            <w:r>
              <w:rPr>
                <w:i/>
                <w:iCs/>
              </w:rPr>
              <w:t>Juvenile</w:t>
            </w:r>
          </w:p>
        </w:tc>
        <w:tc>
          <w:tcPr>
            <w:tcW w:w="2159" w:type="dxa"/>
            <w:tcBorders>
              <w:top w:val="nil"/>
              <w:left w:val="nil"/>
              <w:bottom w:val="nil"/>
              <w:right w:val="nil"/>
            </w:tcBorders>
          </w:tcPr>
          <w:p w14:paraId="20A3ED4C" w14:textId="6E4EF511" w:rsidR="004D5A0B" w:rsidRDefault="0065641D" w:rsidP="00EA5F6F">
            <w:pPr>
              <w:spacing w:after="120"/>
            </w:pPr>
            <w:r>
              <w:t>31%</w:t>
            </w:r>
          </w:p>
        </w:tc>
        <w:tc>
          <w:tcPr>
            <w:tcW w:w="2338" w:type="dxa"/>
            <w:tcBorders>
              <w:top w:val="nil"/>
              <w:left w:val="nil"/>
              <w:bottom w:val="nil"/>
              <w:right w:val="nil"/>
            </w:tcBorders>
          </w:tcPr>
          <w:p w14:paraId="4BD33E3F" w14:textId="38022153" w:rsidR="004D5A0B" w:rsidRDefault="0065641D" w:rsidP="00EA5F6F">
            <w:pPr>
              <w:spacing w:after="120"/>
            </w:pPr>
            <w:r>
              <w:t>26–36%</w:t>
            </w:r>
          </w:p>
        </w:tc>
        <w:tc>
          <w:tcPr>
            <w:tcW w:w="2338" w:type="dxa"/>
            <w:tcBorders>
              <w:top w:val="nil"/>
              <w:left w:val="nil"/>
              <w:bottom w:val="nil"/>
              <w:right w:val="nil"/>
            </w:tcBorders>
          </w:tcPr>
          <w:p w14:paraId="0207D53A" w14:textId="48195F67" w:rsidR="004D5A0B" w:rsidRDefault="0065641D" w:rsidP="00EA5F6F">
            <w:pPr>
              <w:spacing w:after="120"/>
            </w:pPr>
            <w:r>
              <w:t>18–45%</w:t>
            </w:r>
          </w:p>
        </w:tc>
      </w:tr>
      <w:tr w:rsidR="004D5A0B" w14:paraId="493996CA" w14:textId="77777777" w:rsidTr="00EA5F6F">
        <w:tc>
          <w:tcPr>
            <w:tcW w:w="2515" w:type="dxa"/>
            <w:tcBorders>
              <w:top w:val="nil"/>
              <w:left w:val="nil"/>
              <w:bottom w:val="nil"/>
              <w:right w:val="nil"/>
            </w:tcBorders>
          </w:tcPr>
          <w:p w14:paraId="6857925A" w14:textId="5337F710" w:rsidR="004D5A0B" w:rsidRPr="00DE4945" w:rsidRDefault="00744028" w:rsidP="00EA5F6F">
            <w:pPr>
              <w:spacing w:after="120"/>
              <w:rPr>
                <w:b/>
                <w:bCs/>
                <w:vertAlign w:val="superscript"/>
              </w:rPr>
            </w:pPr>
            <w:r>
              <w:rPr>
                <w:b/>
                <w:bCs/>
              </w:rPr>
              <w:t>Below</w:t>
            </w:r>
            <w:r w:rsidR="004D5A0B" w:rsidRPr="00BC43FC">
              <w:rPr>
                <w:b/>
                <w:bCs/>
              </w:rPr>
              <w:t xml:space="preserve"> height of low-rise buildings (47m)</w:t>
            </w:r>
            <w:r w:rsidR="004D5A0B">
              <w:rPr>
                <w:b/>
                <w:bCs/>
                <w:vertAlign w:val="superscript"/>
              </w:rPr>
              <w:t>2</w:t>
            </w:r>
          </w:p>
        </w:tc>
        <w:tc>
          <w:tcPr>
            <w:tcW w:w="2159" w:type="dxa"/>
            <w:tcBorders>
              <w:top w:val="nil"/>
              <w:left w:val="nil"/>
              <w:bottom w:val="nil"/>
              <w:right w:val="nil"/>
            </w:tcBorders>
          </w:tcPr>
          <w:p w14:paraId="02968266" w14:textId="5D664B2E" w:rsidR="004D5A0B" w:rsidRPr="00BC43FC" w:rsidRDefault="00D413B4" w:rsidP="00EA5F6F">
            <w:pPr>
              <w:spacing w:after="120"/>
              <w:rPr>
                <w:b/>
                <w:bCs/>
              </w:rPr>
            </w:pPr>
            <w:r>
              <w:rPr>
                <w:b/>
                <w:bCs/>
              </w:rPr>
              <w:t>10%</w:t>
            </w:r>
          </w:p>
        </w:tc>
        <w:tc>
          <w:tcPr>
            <w:tcW w:w="2338" w:type="dxa"/>
            <w:tcBorders>
              <w:top w:val="nil"/>
              <w:left w:val="nil"/>
              <w:bottom w:val="nil"/>
              <w:right w:val="nil"/>
            </w:tcBorders>
          </w:tcPr>
          <w:p w14:paraId="63154584" w14:textId="5152FF53" w:rsidR="004D5A0B" w:rsidRPr="00BC43FC" w:rsidRDefault="00D413B4" w:rsidP="00EA5F6F">
            <w:pPr>
              <w:spacing w:after="120"/>
              <w:rPr>
                <w:b/>
                <w:bCs/>
              </w:rPr>
            </w:pPr>
            <w:r>
              <w:rPr>
                <w:b/>
                <w:bCs/>
              </w:rPr>
              <w:t>7–12%</w:t>
            </w:r>
          </w:p>
        </w:tc>
        <w:tc>
          <w:tcPr>
            <w:tcW w:w="2338" w:type="dxa"/>
            <w:tcBorders>
              <w:top w:val="nil"/>
              <w:left w:val="nil"/>
              <w:bottom w:val="nil"/>
              <w:right w:val="nil"/>
            </w:tcBorders>
          </w:tcPr>
          <w:p w14:paraId="4218B737" w14:textId="7D574D53" w:rsidR="004D5A0B" w:rsidRPr="00BC43FC" w:rsidRDefault="00D413B4" w:rsidP="00EA5F6F">
            <w:pPr>
              <w:spacing w:after="120"/>
              <w:rPr>
                <w:b/>
                <w:bCs/>
              </w:rPr>
            </w:pPr>
            <w:r>
              <w:rPr>
                <w:b/>
                <w:bCs/>
              </w:rPr>
              <w:t>4–18%</w:t>
            </w:r>
          </w:p>
        </w:tc>
      </w:tr>
      <w:tr w:rsidR="004D5A0B" w14:paraId="0962F377" w14:textId="77777777" w:rsidTr="00EA5F6F">
        <w:tc>
          <w:tcPr>
            <w:tcW w:w="2515" w:type="dxa"/>
            <w:tcBorders>
              <w:top w:val="nil"/>
              <w:left w:val="nil"/>
              <w:bottom w:val="nil"/>
              <w:right w:val="nil"/>
            </w:tcBorders>
          </w:tcPr>
          <w:p w14:paraId="415AAD1B"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4EAFC9F6" w14:textId="31CC0A63" w:rsidR="004D5A0B" w:rsidRDefault="0078398C" w:rsidP="00EA5F6F">
            <w:pPr>
              <w:spacing w:after="120"/>
            </w:pPr>
            <w:r>
              <w:t>12%</w:t>
            </w:r>
          </w:p>
        </w:tc>
        <w:tc>
          <w:tcPr>
            <w:tcW w:w="2338" w:type="dxa"/>
            <w:tcBorders>
              <w:top w:val="nil"/>
              <w:left w:val="nil"/>
              <w:bottom w:val="nil"/>
              <w:right w:val="nil"/>
            </w:tcBorders>
          </w:tcPr>
          <w:p w14:paraId="48E3C473" w14:textId="4545C0F4" w:rsidR="004D5A0B" w:rsidRDefault="0078398C" w:rsidP="00EA5F6F">
            <w:pPr>
              <w:spacing w:after="120"/>
            </w:pPr>
            <w:r>
              <w:t>7–15%</w:t>
            </w:r>
          </w:p>
        </w:tc>
        <w:tc>
          <w:tcPr>
            <w:tcW w:w="2338" w:type="dxa"/>
            <w:tcBorders>
              <w:top w:val="nil"/>
              <w:left w:val="nil"/>
              <w:bottom w:val="nil"/>
              <w:right w:val="nil"/>
            </w:tcBorders>
          </w:tcPr>
          <w:p w14:paraId="64F440B3" w14:textId="373CA782" w:rsidR="004D5A0B" w:rsidRDefault="0078398C" w:rsidP="00EA5F6F">
            <w:pPr>
              <w:spacing w:after="120"/>
            </w:pPr>
            <w:r>
              <w:t>3–23%</w:t>
            </w:r>
          </w:p>
        </w:tc>
      </w:tr>
      <w:tr w:rsidR="004D5A0B" w14:paraId="73EF464B" w14:textId="77777777" w:rsidTr="00EA5F6F">
        <w:tc>
          <w:tcPr>
            <w:tcW w:w="2515" w:type="dxa"/>
            <w:tcBorders>
              <w:top w:val="nil"/>
              <w:left w:val="nil"/>
              <w:bottom w:val="nil"/>
              <w:right w:val="nil"/>
            </w:tcBorders>
          </w:tcPr>
          <w:p w14:paraId="3422C6F1"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3536D38F" w14:textId="4D932EAD" w:rsidR="004D5A0B" w:rsidRDefault="00BB53DA" w:rsidP="00EA5F6F">
            <w:pPr>
              <w:spacing w:after="120"/>
            </w:pPr>
            <w:r>
              <w:t>7%</w:t>
            </w:r>
          </w:p>
        </w:tc>
        <w:tc>
          <w:tcPr>
            <w:tcW w:w="2338" w:type="dxa"/>
            <w:tcBorders>
              <w:top w:val="nil"/>
              <w:left w:val="nil"/>
              <w:bottom w:val="nil"/>
              <w:right w:val="nil"/>
            </w:tcBorders>
          </w:tcPr>
          <w:p w14:paraId="135EDDC8" w14:textId="5EF5A8A9" w:rsidR="004D5A0B" w:rsidRDefault="00BB53DA" w:rsidP="00EA5F6F">
            <w:pPr>
              <w:spacing w:after="120"/>
            </w:pPr>
            <w:r>
              <w:t>3–8%</w:t>
            </w:r>
          </w:p>
        </w:tc>
        <w:tc>
          <w:tcPr>
            <w:tcW w:w="2338" w:type="dxa"/>
            <w:tcBorders>
              <w:top w:val="nil"/>
              <w:left w:val="nil"/>
              <w:bottom w:val="nil"/>
              <w:right w:val="nil"/>
            </w:tcBorders>
          </w:tcPr>
          <w:p w14:paraId="396F0A6A" w14:textId="4415A7A0" w:rsidR="004D5A0B" w:rsidRDefault="00BB53DA" w:rsidP="00EA5F6F">
            <w:pPr>
              <w:spacing w:after="120"/>
            </w:pPr>
            <w:r>
              <w:t>1–16%</w:t>
            </w:r>
          </w:p>
        </w:tc>
      </w:tr>
      <w:tr w:rsidR="004D5A0B" w14:paraId="6FD014A2" w14:textId="77777777" w:rsidTr="00EA5F6F">
        <w:tc>
          <w:tcPr>
            <w:tcW w:w="2515" w:type="dxa"/>
            <w:tcBorders>
              <w:top w:val="nil"/>
              <w:left w:val="nil"/>
              <w:bottom w:val="nil"/>
              <w:right w:val="nil"/>
            </w:tcBorders>
          </w:tcPr>
          <w:p w14:paraId="3D689785"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0898EEC" w14:textId="783B7646" w:rsidR="004D5A0B" w:rsidRDefault="00C5740B" w:rsidP="00EA5F6F">
            <w:pPr>
              <w:spacing w:after="120"/>
            </w:pPr>
            <w:r>
              <w:t>8%</w:t>
            </w:r>
          </w:p>
        </w:tc>
        <w:tc>
          <w:tcPr>
            <w:tcW w:w="2338" w:type="dxa"/>
            <w:tcBorders>
              <w:top w:val="nil"/>
              <w:left w:val="nil"/>
              <w:bottom w:val="nil"/>
              <w:right w:val="nil"/>
            </w:tcBorders>
          </w:tcPr>
          <w:p w14:paraId="683CEA1E" w14:textId="02B6C77A" w:rsidR="004D5A0B" w:rsidRDefault="00C5740B" w:rsidP="00EA5F6F">
            <w:pPr>
              <w:spacing w:after="120"/>
            </w:pPr>
            <w:r>
              <w:t>4–10%</w:t>
            </w:r>
          </w:p>
        </w:tc>
        <w:tc>
          <w:tcPr>
            <w:tcW w:w="2338" w:type="dxa"/>
            <w:tcBorders>
              <w:top w:val="nil"/>
              <w:left w:val="nil"/>
              <w:bottom w:val="nil"/>
              <w:right w:val="nil"/>
            </w:tcBorders>
          </w:tcPr>
          <w:p w14:paraId="03EE80CE" w14:textId="2DDA9140" w:rsidR="004D5A0B" w:rsidRDefault="00C5740B" w:rsidP="00EA5F6F">
            <w:pPr>
              <w:spacing w:after="120"/>
            </w:pPr>
            <w:r>
              <w:t>1–20%</w:t>
            </w:r>
          </w:p>
        </w:tc>
      </w:tr>
      <w:tr w:rsidR="00FE2E76" w14:paraId="387E135F" w14:textId="77777777" w:rsidTr="00EA5F6F">
        <w:tc>
          <w:tcPr>
            <w:tcW w:w="2515" w:type="dxa"/>
            <w:tcBorders>
              <w:top w:val="nil"/>
              <w:left w:val="nil"/>
              <w:bottom w:val="nil"/>
              <w:right w:val="nil"/>
            </w:tcBorders>
          </w:tcPr>
          <w:p w14:paraId="1CB474BA"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51EED05F" w14:textId="54A12B94" w:rsidR="00FE2E76" w:rsidRDefault="00FE2E76" w:rsidP="00FE2E76">
            <w:pPr>
              <w:spacing w:after="120"/>
            </w:pPr>
            <w:r>
              <w:t>8%</w:t>
            </w:r>
          </w:p>
        </w:tc>
        <w:tc>
          <w:tcPr>
            <w:tcW w:w="2338" w:type="dxa"/>
            <w:tcBorders>
              <w:top w:val="nil"/>
              <w:left w:val="nil"/>
              <w:bottom w:val="nil"/>
              <w:right w:val="nil"/>
            </w:tcBorders>
          </w:tcPr>
          <w:p w14:paraId="51BCAD51" w14:textId="115A3B21" w:rsidR="00FE2E76" w:rsidRDefault="00FE2E76" w:rsidP="00FE2E76">
            <w:pPr>
              <w:spacing w:after="120"/>
            </w:pPr>
            <w:r>
              <w:t>4–10%</w:t>
            </w:r>
          </w:p>
        </w:tc>
        <w:tc>
          <w:tcPr>
            <w:tcW w:w="2338" w:type="dxa"/>
            <w:tcBorders>
              <w:top w:val="nil"/>
              <w:left w:val="nil"/>
              <w:bottom w:val="nil"/>
              <w:right w:val="nil"/>
            </w:tcBorders>
          </w:tcPr>
          <w:p w14:paraId="4E51F057" w14:textId="16ACE255" w:rsidR="00FE2E76" w:rsidRDefault="00876438" w:rsidP="00FE2E76">
            <w:pPr>
              <w:spacing w:after="120"/>
            </w:pPr>
            <w:r>
              <w:t>2–18%</w:t>
            </w:r>
          </w:p>
        </w:tc>
      </w:tr>
      <w:tr w:rsidR="00FE2E76" w14:paraId="21716AA4" w14:textId="77777777" w:rsidTr="00EA5F6F">
        <w:tc>
          <w:tcPr>
            <w:tcW w:w="2515" w:type="dxa"/>
            <w:tcBorders>
              <w:top w:val="nil"/>
              <w:left w:val="nil"/>
              <w:bottom w:val="nil"/>
              <w:right w:val="nil"/>
            </w:tcBorders>
          </w:tcPr>
          <w:p w14:paraId="57B9EE37" w14:textId="73404AA6" w:rsidR="00FE2E76" w:rsidRPr="00DE4945" w:rsidRDefault="00FE2E76" w:rsidP="00FE2E76">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5BBF8BB1" w:rsidR="00FE2E76" w:rsidRPr="00BC43FC" w:rsidRDefault="00FE2E76" w:rsidP="00FE2E76">
            <w:pPr>
              <w:spacing w:after="120"/>
              <w:rPr>
                <w:b/>
                <w:bCs/>
              </w:rPr>
            </w:pPr>
            <w:r>
              <w:rPr>
                <w:b/>
                <w:bCs/>
              </w:rPr>
              <w:t>27%</w:t>
            </w:r>
          </w:p>
        </w:tc>
        <w:tc>
          <w:tcPr>
            <w:tcW w:w="2338" w:type="dxa"/>
            <w:tcBorders>
              <w:top w:val="nil"/>
              <w:left w:val="nil"/>
              <w:bottom w:val="nil"/>
              <w:right w:val="nil"/>
            </w:tcBorders>
          </w:tcPr>
          <w:p w14:paraId="4B7E5CA0" w14:textId="609B4BF8" w:rsidR="00FE2E76" w:rsidRPr="00BC43FC" w:rsidRDefault="00FE2E76" w:rsidP="00FE2E76">
            <w:pPr>
              <w:spacing w:after="120"/>
              <w:rPr>
                <w:b/>
                <w:bCs/>
              </w:rPr>
            </w:pPr>
            <w:r>
              <w:rPr>
                <w:b/>
                <w:bCs/>
              </w:rPr>
              <w:t>26–29%</w:t>
            </w:r>
          </w:p>
        </w:tc>
        <w:tc>
          <w:tcPr>
            <w:tcW w:w="2338" w:type="dxa"/>
            <w:tcBorders>
              <w:top w:val="nil"/>
              <w:left w:val="nil"/>
              <w:bottom w:val="nil"/>
              <w:right w:val="nil"/>
            </w:tcBorders>
          </w:tcPr>
          <w:p w14:paraId="49B43566" w14:textId="38AD1DCC" w:rsidR="00FE2E76" w:rsidRPr="00BC43FC" w:rsidRDefault="00FE2E76" w:rsidP="00FE2E76">
            <w:pPr>
              <w:spacing w:after="120"/>
              <w:rPr>
                <w:b/>
                <w:bCs/>
              </w:rPr>
            </w:pPr>
            <w:r>
              <w:rPr>
                <w:b/>
                <w:bCs/>
              </w:rPr>
              <w:t>22–32%</w:t>
            </w:r>
          </w:p>
        </w:tc>
      </w:tr>
      <w:tr w:rsidR="00FE2E76" w14:paraId="174B2197" w14:textId="77777777" w:rsidTr="00EA5F6F">
        <w:tc>
          <w:tcPr>
            <w:tcW w:w="2515" w:type="dxa"/>
            <w:tcBorders>
              <w:top w:val="nil"/>
              <w:left w:val="nil"/>
              <w:bottom w:val="nil"/>
              <w:right w:val="nil"/>
            </w:tcBorders>
          </w:tcPr>
          <w:p w14:paraId="1714CE3A"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143846D6" w14:textId="6E02EA3B" w:rsidR="00FE2E76" w:rsidRDefault="00A7340F" w:rsidP="00FE2E76">
            <w:pPr>
              <w:spacing w:after="120"/>
            </w:pPr>
            <w:r>
              <w:t>31%</w:t>
            </w:r>
          </w:p>
        </w:tc>
        <w:tc>
          <w:tcPr>
            <w:tcW w:w="2338" w:type="dxa"/>
            <w:tcBorders>
              <w:top w:val="nil"/>
              <w:left w:val="nil"/>
              <w:bottom w:val="nil"/>
              <w:right w:val="nil"/>
            </w:tcBorders>
          </w:tcPr>
          <w:p w14:paraId="4E024952" w14:textId="5336C300" w:rsidR="00FE2E76" w:rsidRDefault="00E11DF9" w:rsidP="00FE2E76">
            <w:pPr>
              <w:spacing w:after="120"/>
            </w:pPr>
            <w:r>
              <w:t>29–33%</w:t>
            </w:r>
          </w:p>
        </w:tc>
        <w:tc>
          <w:tcPr>
            <w:tcW w:w="2338" w:type="dxa"/>
            <w:tcBorders>
              <w:top w:val="nil"/>
              <w:left w:val="nil"/>
              <w:bottom w:val="nil"/>
              <w:right w:val="nil"/>
            </w:tcBorders>
          </w:tcPr>
          <w:p w14:paraId="48C3B6DD" w14:textId="45E53881" w:rsidR="00FE2E76" w:rsidRDefault="00E11DF9" w:rsidP="00FE2E76">
            <w:pPr>
              <w:spacing w:after="120"/>
            </w:pPr>
            <w:r>
              <w:t>23–37%</w:t>
            </w:r>
          </w:p>
        </w:tc>
      </w:tr>
      <w:tr w:rsidR="00FE2E76" w14:paraId="00FCED52" w14:textId="77777777" w:rsidTr="00EA5F6F">
        <w:tc>
          <w:tcPr>
            <w:tcW w:w="2515" w:type="dxa"/>
            <w:tcBorders>
              <w:top w:val="nil"/>
              <w:left w:val="nil"/>
              <w:bottom w:val="nil"/>
              <w:right w:val="nil"/>
            </w:tcBorders>
          </w:tcPr>
          <w:p w14:paraId="38546783"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1913D546" w14:textId="0934F305" w:rsidR="00FE2E76" w:rsidRDefault="00E11DF9" w:rsidP="00FE2E76">
            <w:pPr>
              <w:spacing w:after="120"/>
            </w:pPr>
            <w:r>
              <w:t>23%</w:t>
            </w:r>
          </w:p>
        </w:tc>
        <w:tc>
          <w:tcPr>
            <w:tcW w:w="2338" w:type="dxa"/>
            <w:tcBorders>
              <w:top w:val="nil"/>
              <w:left w:val="nil"/>
              <w:bottom w:val="nil"/>
              <w:right w:val="nil"/>
            </w:tcBorders>
          </w:tcPr>
          <w:p w14:paraId="28E99940" w14:textId="4DEEA284" w:rsidR="00FE2E76" w:rsidRDefault="00E11DF9" w:rsidP="00FE2E76">
            <w:pPr>
              <w:spacing w:after="120"/>
            </w:pPr>
            <w:r>
              <w:t>20–26%</w:t>
            </w:r>
          </w:p>
        </w:tc>
        <w:tc>
          <w:tcPr>
            <w:tcW w:w="2338" w:type="dxa"/>
            <w:tcBorders>
              <w:top w:val="nil"/>
              <w:left w:val="nil"/>
              <w:bottom w:val="nil"/>
              <w:right w:val="nil"/>
            </w:tcBorders>
          </w:tcPr>
          <w:p w14:paraId="24A8F648" w14:textId="6099D696" w:rsidR="00FE2E76" w:rsidRDefault="007B0925" w:rsidP="00FE2E76">
            <w:pPr>
              <w:spacing w:after="120"/>
            </w:pPr>
            <w:r>
              <w:t>15–30%</w:t>
            </w:r>
          </w:p>
        </w:tc>
      </w:tr>
      <w:tr w:rsidR="00FE2E76" w14:paraId="3CEA45A1" w14:textId="77777777" w:rsidTr="00EA5F6F">
        <w:tc>
          <w:tcPr>
            <w:tcW w:w="2515" w:type="dxa"/>
            <w:tcBorders>
              <w:top w:val="nil"/>
              <w:left w:val="nil"/>
              <w:bottom w:val="nil"/>
              <w:right w:val="nil"/>
            </w:tcBorders>
          </w:tcPr>
          <w:p w14:paraId="02290902"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7B4B3743" w14:textId="5AE6708E" w:rsidR="00FE2E76" w:rsidRDefault="005152E5" w:rsidP="00FE2E76">
            <w:pPr>
              <w:spacing w:after="120"/>
            </w:pPr>
            <w:r>
              <w:t>25%</w:t>
            </w:r>
          </w:p>
        </w:tc>
        <w:tc>
          <w:tcPr>
            <w:tcW w:w="2338" w:type="dxa"/>
            <w:tcBorders>
              <w:top w:val="nil"/>
              <w:left w:val="nil"/>
              <w:bottom w:val="nil"/>
              <w:right w:val="nil"/>
            </w:tcBorders>
          </w:tcPr>
          <w:p w14:paraId="0F94111F" w14:textId="6B4CED9B" w:rsidR="00FE2E76" w:rsidRDefault="005152E5" w:rsidP="00FE2E76">
            <w:pPr>
              <w:spacing w:after="120"/>
            </w:pPr>
            <w:r>
              <w:t>23–28%</w:t>
            </w:r>
          </w:p>
        </w:tc>
        <w:tc>
          <w:tcPr>
            <w:tcW w:w="2338" w:type="dxa"/>
            <w:tcBorders>
              <w:top w:val="nil"/>
              <w:left w:val="nil"/>
              <w:bottom w:val="nil"/>
              <w:right w:val="nil"/>
            </w:tcBorders>
          </w:tcPr>
          <w:p w14:paraId="3E617C4C" w14:textId="2821D6B8" w:rsidR="00FE2E76" w:rsidRDefault="00266082" w:rsidP="00FE2E76">
            <w:pPr>
              <w:spacing w:after="120"/>
            </w:pPr>
            <w:r>
              <w:t>16–32%</w:t>
            </w:r>
          </w:p>
        </w:tc>
      </w:tr>
      <w:tr w:rsidR="00FE2E76" w14:paraId="066F8C8B" w14:textId="77777777" w:rsidTr="00EA5F6F">
        <w:tc>
          <w:tcPr>
            <w:tcW w:w="2515" w:type="dxa"/>
            <w:tcBorders>
              <w:top w:val="nil"/>
              <w:left w:val="nil"/>
              <w:bottom w:val="nil"/>
              <w:right w:val="nil"/>
            </w:tcBorders>
          </w:tcPr>
          <w:p w14:paraId="027DF90D"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35C806BE" w14:textId="0528584D" w:rsidR="00FE2E76" w:rsidRDefault="00266082" w:rsidP="00FE2E76">
            <w:pPr>
              <w:spacing w:after="120"/>
            </w:pPr>
            <w:r>
              <w:t>28%</w:t>
            </w:r>
          </w:p>
        </w:tc>
        <w:tc>
          <w:tcPr>
            <w:tcW w:w="2338" w:type="dxa"/>
            <w:tcBorders>
              <w:top w:val="nil"/>
              <w:left w:val="nil"/>
              <w:bottom w:val="nil"/>
              <w:right w:val="nil"/>
            </w:tcBorders>
          </w:tcPr>
          <w:p w14:paraId="55B78882" w14:textId="3F4C7DBE" w:rsidR="00FE2E76" w:rsidRDefault="00266082" w:rsidP="00FE2E76">
            <w:pPr>
              <w:spacing w:after="120"/>
            </w:pPr>
            <w:r>
              <w:t>26–31%</w:t>
            </w:r>
          </w:p>
        </w:tc>
        <w:tc>
          <w:tcPr>
            <w:tcW w:w="2338" w:type="dxa"/>
            <w:tcBorders>
              <w:top w:val="nil"/>
              <w:left w:val="nil"/>
              <w:bottom w:val="nil"/>
              <w:right w:val="nil"/>
            </w:tcBorders>
          </w:tcPr>
          <w:p w14:paraId="7CFCB9C4" w14:textId="2CC39EBD" w:rsidR="00FE2E76" w:rsidRDefault="00266082" w:rsidP="00FE2E76">
            <w:pPr>
              <w:spacing w:after="120"/>
            </w:pPr>
            <w:r>
              <w:t>19–35%</w:t>
            </w:r>
          </w:p>
        </w:tc>
      </w:tr>
      <w:tr w:rsidR="00FE2E76" w14:paraId="675CC30F" w14:textId="77777777" w:rsidTr="00EA5F6F">
        <w:tc>
          <w:tcPr>
            <w:tcW w:w="2515" w:type="dxa"/>
            <w:tcBorders>
              <w:top w:val="nil"/>
              <w:left w:val="nil"/>
              <w:bottom w:val="nil"/>
              <w:right w:val="nil"/>
            </w:tcBorders>
          </w:tcPr>
          <w:p w14:paraId="006F5930" w14:textId="2AAA71D1" w:rsidR="00FE2E76" w:rsidRPr="00EC77DA" w:rsidRDefault="00FE2E76" w:rsidP="00FE2E76">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4A6A742B" w:rsidR="00FE2E76" w:rsidRPr="00BC43FC" w:rsidRDefault="00FE2E76" w:rsidP="00FE2E76">
            <w:pPr>
              <w:spacing w:after="120"/>
              <w:rPr>
                <w:b/>
                <w:bCs/>
              </w:rPr>
            </w:pPr>
            <w:r>
              <w:rPr>
                <w:b/>
                <w:bCs/>
              </w:rPr>
              <w:t>56%</w:t>
            </w:r>
          </w:p>
        </w:tc>
        <w:tc>
          <w:tcPr>
            <w:tcW w:w="2338" w:type="dxa"/>
            <w:tcBorders>
              <w:top w:val="nil"/>
              <w:left w:val="nil"/>
              <w:bottom w:val="nil"/>
              <w:right w:val="nil"/>
            </w:tcBorders>
          </w:tcPr>
          <w:p w14:paraId="5644501F" w14:textId="5913DB23" w:rsidR="00FE2E76" w:rsidRPr="00BC43FC" w:rsidRDefault="00FE2E76" w:rsidP="00FE2E76">
            <w:pPr>
              <w:spacing w:after="120"/>
              <w:rPr>
                <w:b/>
                <w:bCs/>
              </w:rPr>
            </w:pPr>
            <w:r>
              <w:rPr>
                <w:b/>
                <w:bCs/>
              </w:rPr>
              <w:t>53–59%</w:t>
            </w:r>
          </w:p>
        </w:tc>
        <w:tc>
          <w:tcPr>
            <w:tcW w:w="2338" w:type="dxa"/>
            <w:tcBorders>
              <w:top w:val="nil"/>
              <w:left w:val="nil"/>
              <w:bottom w:val="nil"/>
              <w:right w:val="nil"/>
            </w:tcBorders>
          </w:tcPr>
          <w:p w14:paraId="15C2A5BB" w14:textId="26A4AC5B" w:rsidR="00FE2E76" w:rsidRPr="00BC43FC" w:rsidRDefault="00FE2E76" w:rsidP="00FE2E76">
            <w:pPr>
              <w:spacing w:after="120"/>
              <w:rPr>
                <w:b/>
                <w:bCs/>
              </w:rPr>
            </w:pPr>
            <w:r>
              <w:rPr>
                <w:b/>
                <w:bCs/>
              </w:rPr>
              <w:t>47–65%</w:t>
            </w:r>
          </w:p>
        </w:tc>
      </w:tr>
      <w:tr w:rsidR="00FE2E76" w14:paraId="7FA1A435" w14:textId="77777777" w:rsidTr="00EA5F6F">
        <w:tc>
          <w:tcPr>
            <w:tcW w:w="2515" w:type="dxa"/>
            <w:tcBorders>
              <w:top w:val="nil"/>
              <w:left w:val="nil"/>
              <w:bottom w:val="nil"/>
              <w:right w:val="nil"/>
            </w:tcBorders>
          </w:tcPr>
          <w:p w14:paraId="6CB40544"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513AF458" w14:textId="3B6E40EC" w:rsidR="00FE2E76" w:rsidRDefault="00FE2E76" w:rsidP="00FE2E76">
            <w:pPr>
              <w:spacing w:after="120"/>
            </w:pPr>
            <w:r>
              <w:t>62%</w:t>
            </w:r>
          </w:p>
        </w:tc>
        <w:tc>
          <w:tcPr>
            <w:tcW w:w="2338" w:type="dxa"/>
            <w:tcBorders>
              <w:top w:val="nil"/>
              <w:left w:val="nil"/>
              <w:bottom w:val="nil"/>
              <w:right w:val="nil"/>
            </w:tcBorders>
          </w:tcPr>
          <w:p w14:paraId="5DBCAA82" w14:textId="519D10B9" w:rsidR="00FE2E76" w:rsidRDefault="00FE2E76" w:rsidP="00FE2E76">
            <w:pPr>
              <w:spacing w:after="120"/>
            </w:pPr>
            <w:r>
              <w:t>58–66%</w:t>
            </w:r>
          </w:p>
        </w:tc>
        <w:tc>
          <w:tcPr>
            <w:tcW w:w="2338" w:type="dxa"/>
            <w:tcBorders>
              <w:top w:val="nil"/>
              <w:left w:val="nil"/>
              <w:bottom w:val="nil"/>
              <w:right w:val="nil"/>
            </w:tcBorders>
          </w:tcPr>
          <w:p w14:paraId="29E63590" w14:textId="307A66D2" w:rsidR="00FE2E76" w:rsidRDefault="00FE2E76" w:rsidP="00FE2E76">
            <w:pPr>
              <w:spacing w:after="120"/>
            </w:pPr>
            <w:r>
              <w:t>50–73%</w:t>
            </w:r>
          </w:p>
        </w:tc>
      </w:tr>
      <w:tr w:rsidR="00FE2E76" w14:paraId="5A24E19B" w14:textId="77777777" w:rsidTr="00EA5F6F">
        <w:tc>
          <w:tcPr>
            <w:tcW w:w="2515" w:type="dxa"/>
            <w:tcBorders>
              <w:top w:val="nil"/>
              <w:left w:val="nil"/>
              <w:bottom w:val="nil"/>
              <w:right w:val="nil"/>
            </w:tcBorders>
          </w:tcPr>
          <w:p w14:paraId="77258FB8"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77077974" w14:textId="28E7C432" w:rsidR="00FE2E76" w:rsidRDefault="00FE2E76" w:rsidP="00FE2E76">
            <w:pPr>
              <w:spacing w:after="120"/>
            </w:pPr>
            <w:r>
              <w:t>48%</w:t>
            </w:r>
          </w:p>
        </w:tc>
        <w:tc>
          <w:tcPr>
            <w:tcW w:w="2338" w:type="dxa"/>
            <w:tcBorders>
              <w:top w:val="nil"/>
              <w:left w:val="nil"/>
              <w:bottom w:val="nil"/>
              <w:right w:val="nil"/>
            </w:tcBorders>
          </w:tcPr>
          <w:p w14:paraId="74CB61D4" w14:textId="4FF5D91C" w:rsidR="00FE2E76" w:rsidRDefault="00FE2E76" w:rsidP="00FE2E76">
            <w:pPr>
              <w:spacing w:after="120"/>
            </w:pPr>
            <w:r>
              <w:t>44–53%</w:t>
            </w:r>
          </w:p>
        </w:tc>
        <w:tc>
          <w:tcPr>
            <w:tcW w:w="2338" w:type="dxa"/>
            <w:tcBorders>
              <w:top w:val="nil"/>
              <w:left w:val="nil"/>
              <w:bottom w:val="nil"/>
              <w:right w:val="nil"/>
            </w:tcBorders>
          </w:tcPr>
          <w:p w14:paraId="39750A9C" w14:textId="49D34109" w:rsidR="00FE2E76" w:rsidRDefault="00FE2E76" w:rsidP="00FE2E76">
            <w:pPr>
              <w:spacing w:after="120"/>
            </w:pPr>
            <w:r>
              <w:t>35–62%</w:t>
            </w:r>
          </w:p>
        </w:tc>
      </w:tr>
      <w:tr w:rsidR="00FE2E76" w14:paraId="42A013EC" w14:textId="77777777" w:rsidTr="00EA5F6F">
        <w:tc>
          <w:tcPr>
            <w:tcW w:w="2515" w:type="dxa"/>
            <w:tcBorders>
              <w:top w:val="nil"/>
              <w:left w:val="nil"/>
              <w:bottom w:val="nil"/>
              <w:right w:val="nil"/>
            </w:tcBorders>
          </w:tcPr>
          <w:p w14:paraId="53EFD677"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3303874C" w14:textId="2FA08F92" w:rsidR="00FE2E76" w:rsidRDefault="00B100F3" w:rsidP="00FE2E76">
            <w:pPr>
              <w:spacing w:after="120"/>
            </w:pPr>
            <w:r>
              <w:t>51%</w:t>
            </w:r>
          </w:p>
        </w:tc>
        <w:tc>
          <w:tcPr>
            <w:tcW w:w="2338" w:type="dxa"/>
            <w:tcBorders>
              <w:top w:val="nil"/>
              <w:left w:val="nil"/>
              <w:bottom w:val="nil"/>
              <w:right w:val="nil"/>
            </w:tcBorders>
          </w:tcPr>
          <w:p w14:paraId="296A2FF3" w14:textId="7899BE56" w:rsidR="00FE2E76" w:rsidRDefault="00B100F3" w:rsidP="00FE2E76">
            <w:pPr>
              <w:spacing w:after="120"/>
            </w:pPr>
            <w:r>
              <w:t>46–56%</w:t>
            </w:r>
          </w:p>
        </w:tc>
        <w:tc>
          <w:tcPr>
            <w:tcW w:w="2338" w:type="dxa"/>
            <w:tcBorders>
              <w:top w:val="nil"/>
              <w:left w:val="nil"/>
              <w:bottom w:val="nil"/>
              <w:right w:val="nil"/>
            </w:tcBorders>
          </w:tcPr>
          <w:p w14:paraId="69BE3FBD" w14:textId="156C3155" w:rsidR="00FE2E76" w:rsidRDefault="00B100F3" w:rsidP="00FE2E76">
            <w:pPr>
              <w:spacing w:after="120"/>
            </w:pPr>
            <w:r>
              <w:t>38–66%</w:t>
            </w:r>
          </w:p>
        </w:tc>
      </w:tr>
      <w:tr w:rsidR="00FE2E76" w14:paraId="4F7DB9FC" w14:textId="77777777" w:rsidTr="00EA5F6F">
        <w:tc>
          <w:tcPr>
            <w:tcW w:w="2515" w:type="dxa"/>
            <w:tcBorders>
              <w:top w:val="nil"/>
              <w:left w:val="nil"/>
              <w:right w:val="nil"/>
            </w:tcBorders>
          </w:tcPr>
          <w:p w14:paraId="12290B8B" w14:textId="77777777" w:rsidR="00FE2E76" w:rsidRDefault="00FE2E76" w:rsidP="00FE2E76">
            <w:pPr>
              <w:spacing w:after="120"/>
            </w:pPr>
            <w:r>
              <w:t xml:space="preserve">    </w:t>
            </w:r>
            <w:r>
              <w:rPr>
                <w:i/>
                <w:iCs/>
              </w:rPr>
              <w:t>Juvenile</w:t>
            </w:r>
          </w:p>
        </w:tc>
        <w:tc>
          <w:tcPr>
            <w:tcW w:w="2159" w:type="dxa"/>
            <w:tcBorders>
              <w:top w:val="nil"/>
              <w:left w:val="nil"/>
              <w:right w:val="nil"/>
            </w:tcBorders>
          </w:tcPr>
          <w:p w14:paraId="4BAC9FEC" w14:textId="329776FA" w:rsidR="00FE2E76" w:rsidRDefault="00125841" w:rsidP="00FE2E76">
            <w:pPr>
              <w:spacing w:after="120"/>
            </w:pPr>
            <w:r>
              <w:t>57%</w:t>
            </w:r>
          </w:p>
        </w:tc>
        <w:tc>
          <w:tcPr>
            <w:tcW w:w="2338" w:type="dxa"/>
            <w:tcBorders>
              <w:top w:val="nil"/>
              <w:left w:val="nil"/>
              <w:right w:val="nil"/>
            </w:tcBorders>
          </w:tcPr>
          <w:p w14:paraId="38800510" w14:textId="218A1AE4" w:rsidR="00FE2E76" w:rsidRDefault="00125841" w:rsidP="00FE2E76">
            <w:pPr>
              <w:spacing w:after="120"/>
            </w:pPr>
            <w:r>
              <w:t>53–61%</w:t>
            </w:r>
          </w:p>
        </w:tc>
        <w:tc>
          <w:tcPr>
            <w:tcW w:w="2338" w:type="dxa"/>
            <w:tcBorders>
              <w:top w:val="nil"/>
              <w:left w:val="nil"/>
              <w:right w:val="nil"/>
            </w:tcBorders>
          </w:tcPr>
          <w:p w14:paraId="224F18F8" w14:textId="3F88A060" w:rsidR="00FE2E76" w:rsidRDefault="00125841" w:rsidP="00FE2E76">
            <w:pPr>
              <w:spacing w:after="120"/>
            </w:pPr>
            <w:r>
              <w:t>45–68%</w:t>
            </w:r>
          </w:p>
        </w:tc>
      </w:tr>
    </w:tbl>
    <w:p w14:paraId="4B7B1B17" w14:textId="77777777" w:rsidR="005C505F" w:rsidRDefault="005C505F" w:rsidP="005C505F">
      <w:pPr>
        <w:spacing w:line="480" w:lineRule="auto"/>
      </w:pPr>
      <w:r w:rsidRPr="00C744E8">
        <w:rPr>
          <w:vertAlign w:val="superscript"/>
        </w:rPr>
        <w:lastRenderedPageBreak/>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54127CC9">
            <wp:extent cx="4876800" cy="4222143"/>
            <wp:effectExtent l="0" t="0" r="0" b="6985"/>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56"/>
                    <a:stretch/>
                  </pic:blipFill>
                  <pic:spPr bwMode="auto">
                    <a:xfrm>
                      <a:off x="0" y="0"/>
                      <a:ext cx="4876800" cy="4222143"/>
                    </a:xfrm>
                    <a:prstGeom prst="rect">
                      <a:avLst/>
                    </a:prstGeom>
                    <a:noFill/>
                    <a:ln>
                      <a:noFill/>
                    </a:ln>
                    <a:extLst>
                      <a:ext uri="{53640926-AAD7-44D8-BBD7-CCE9431645EC}">
                        <a14:shadowObscured xmlns:a14="http://schemas.microsoft.com/office/drawing/2010/main"/>
                      </a:ext>
                    </a:extLst>
                  </pic:spPr>
                </pic:pic>
              </a:graphicData>
            </a:graphic>
          </wp:inline>
        </w:drawing>
      </w:r>
    </w:p>
    <w:p w14:paraId="0A65B5C1" w14:textId="5363B946" w:rsidR="003A2A58" w:rsidRDefault="00540B79" w:rsidP="00882B4E">
      <w:pPr>
        <w:spacing w:line="480" w:lineRule="auto"/>
      </w:pPr>
      <w:r>
        <w:t xml:space="preserve">Figure </w:t>
      </w:r>
      <w:r w:rsidR="00AB1F06">
        <w:t>1</w:t>
      </w:r>
      <w:r>
        <w:t>.</w:t>
      </w:r>
      <w:r w:rsidR="00882B4E">
        <w:t xml:space="preserve"> </w:t>
      </w:r>
      <w:r w:rsidR="006D3336">
        <w:t>M</w:t>
      </w:r>
      <w:r w:rsidR="00C8798F">
        <w:t xml:space="preserve">eans and standard </w:t>
      </w:r>
      <w:r w:rsidR="006D3336">
        <w:t>deviations of American Woodcock (</w:t>
      </w:r>
      <w:proofErr w:type="spellStart"/>
      <w:r w:rsidR="006D3336">
        <w:rPr>
          <w:i/>
          <w:iCs/>
        </w:rPr>
        <w:t>Scolopax</w:t>
      </w:r>
      <w:proofErr w:type="spellEnd"/>
      <w:r w:rsidR="006D3336">
        <w:rPr>
          <w:i/>
          <w:iCs/>
        </w:rPr>
        <w:t xml:space="preserve"> minor</w:t>
      </w:r>
      <w:r w:rsidR="006D3336">
        <w:t>) flight altitudes</w:t>
      </w:r>
      <w:r w:rsidR="00901686">
        <w:t xml:space="preserve"> 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5383E61" w14:textId="1C658BCA" w:rsidR="003A2A58" w:rsidRDefault="00DA21DC" w:rsidP="000D609A">
      <w:pPr>
        <w:spacing w:line="480" w:lineRule="auto"/>
      </w:pPr>
      <w:r>
        <w:rPr>
          <w:noProof/>
        </w:rPr>
        <w:lastRenderedPageBreak/>
        <w:drawing>
          <wp:inline distT="0" distB="0" distL="0" distR="0" wp14:anchorId="7EB0815F" wp14:editId="55727679">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78446C06" w:rsidR="003A2A58" w:rsidRDefault="003A2A58" w:rsidP="00C4430A">
      <w:pPr>
        <w:spacing w:line="480" w:lineRule="auto"/>
      </w:pPr>
      <w:r>
        <w:t xml:space="preserve">Figure </w:t>
      </w:r>
      <w:r w:rsidR="00AB1F06">
        <w:t>2.</w:t>
      </w:r>
      <w:r w:rsidR="00DA5271">
        <w:t xml:space="preserve"> </w:t>
      </w:r>
      <w:r w:rsidR="00AF1AF4">
        <w:t>Means and standard deviations of American Woodcock (</w:t>
      </w:r>
      <w:proofErr w:type="spellStart"/>
      <w:r w:rsidR="00AF1AF4">
        <w:rPr>
          <w:i/>
          <w:iCs/>
        </w:rPr>
        <w:t>Scolopax</w:t>
      </w:r>
      <w:proofErr w:type="spellEnd"/>
      <w:r w:rsidR="00AF1AF4">
        <w:rPr>
          <w:i/>
          <w:iCs/>
        </w:rPr>
        <w:t xml:space="preserve"> minor</w:t>
      </w:r>
      <w:r w:rsidR="00AF1AF4">
        <w:t xml:space="preserve">) flight altitudes above ground level for adult and juvenile individuals. Density plots represent posterior distributions of parameters, while point intervals represent the medians (points), </w:t>
      </w:r>
      <w:r w:rsidR="001C2E57">
        <w:t xml:space="preserve">50% highest density credible intervals (thick lines), and 95% highest density credible intervals (thin lines) </w:t>
      </w:r>
      <w:r w:rsidR="00AF1AF4">
        <w:t>of the posteriors</w:t>
      </w:r>
      <w:r w:rsidR="00C4430A">
        <w:t>.</w:t>
      </w:r>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6A2AAE5D" w:rsidR="0087784B" w:rsidRDefault="0087784B" w:rsidP="00432EB4">
      <w:pPr>
        <w:spacing w:line="480" w:lineRule="auto"/>
      </w:pPr>
      <w:r>
        <w:t xml:space="preserve">Figure </w:t>
      </w:r>
      <w:r w:rsidR="00AB1F06">
        <w:t>3</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r>
        <w:rPr>
          <w:b/>
          <w:bCs/>
        </w:rPr>
        <w:lastRenderedPageBreak/>
        <w:t>4 Discussion</w:t>
      </w:r>
    </w:p>
    <w:p w14:paraId="3AAE161D" w14:textId="6CFAC7D9"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proofErr w:type="gramStart"/>
      <w:r w:rsidR="00364EB1">
        <w:t>Woodcock</w:t>
      </w:r>
      <w:proofErr w:type="gramEnd"/>
      <w:r w:rsidR="00364EB1">
        <w:t xml:space="preserve">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303762E4" w:rsidR="00BF4096" w:rsidRDefault="00893151" w:rsidP="00E5489A">
      <w:pPr>
        <w:spacing w:line="480" w:lineRule="auto"/>
      </w:pPr>
      <w:r>
        <w:tab/>
        <w:t xml:space="preserve">As anticipated, we found little support for an age 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woodcock are more likely to fly at altitudes like 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altitude</w:t>
      </w:r>
      <w:bookmarkEnd w:id="0"/>
      <w:r w:rsidR="00427416">
        <w:t xml:space="preserve">. </w:t>
      </w:r>
      <w:r w:rsidR="008E1122">
        <w:lastRenderedPageBreak/>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which is interesting given that 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6CF53612" w:rsidR="00FB0C97" w:rsidRDefault="00597B09" w:rsidP="00E5489A">
      <w:pPr>
        <w:spacing w:line="480" w:lineRule="auto"/>
      </w:pPr>
      <w:r>
        <w:tab/>
      </w:r>
      <w:r w:rsidR="006619B4">
        <w:t>D</w:t>
      </w:r>
      <w:r w:rsidR="00A11BB7">
        <w:t xml:space="preserve">espite a mean flight altitude of </w:t>
      </w:r>
      <w:r w:rsidR="005A2BD5">
        <w:t xml:space="preserve">364m,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73F81C44" w:rsidR="00E84493" w:rsidRDefault="00594F98" w:rsidP="007E762A">
      <w:pPr>
        <w:spacing w:line="480" w:lineRule="auto"/>
      </w:pPr>
      <w:r>
        <w:lastRenderedPageBreak/>
        <w:tab/>
      </w:r>
      <w:r w:rsidR="00E508A1">
        <w:t xml:space="preserve">It is unclear whether woodcock are the only species with such substantial </w:t>
      </w:r>
      <w:r w:rsidR="008D7414">
        <w:t xml:space="preserve">use </w:t>
      </w:r>
      <w:proofErr w:type="gramStart"/>
      <w:r w:rsidR="008D7414">
        <w:t>of</w:t>
      </w:r>
      <w:proofErr w:type="gramEnd"/>
      <w:r w:rsidR="008D7414">
        <w:t xml:space="preserve"> low flight altitudes</w:t>
      </w:r>
      <w:r w:rsidR="00E508A1">
        <w:t xml:space="preserve">. </w:t>
      </w:r>
      <w:r w:rsidR="00ED3A05">
        <w:t>Woodcock appear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which suggests that individual migratory strategies </w:t>
      </w:r>
      <w:r w:rsidR="00550A6D">
        <w:t>(e.g. short migratory flights)</w:t>
      </w:r>
      <w:r w:rsidR="00550A6D">
        <w:t xml:space="preserve">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lastRenderedPageBreak/>
        <w:t>References</w:t>
      </w:r>
    </w:p>
    <w:p w14:paraId="5DD7AA2C" w14:textId="15B45C38" w:rsidR="0044679B" w:rsidRPr="0044679B" w:rsidRDefault="0044679B" w:rsidP="0044679B">
      <w:pPr>
        <w:pStyle w:val="Bibliography"/>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Pr="0044679B" w:rsidRDefault="0044679B" w:rsidP="0044679B">
      <w:pPr>
        <w:pStyle w:val="Bibliography"/>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13FDD31E" w14:textId="77777777" w:rsidR="0044679B" w:rsidRPr="0044679B" w:rsidRDefault="0044679B" w:rsidP="0044679B">
      <w:pPr>
        <w:pStyle w:val="Bibliography"/>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44679B">
      <w:pPr>
        <w:pStyle w:val="Bibliography"/>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44679B">
      <w:pPr>
        <w:pStyle w:val="Bibliography"/>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44679B">
      <w:pPr>
        <w:pStyle w:val="Bibliography"/>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44679B">
      <w:pPr>
        <w:pStyle w:val="Bibliography"/>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44679B">
      <w:pPr>
        <w:pStyle w:val="Bibliography"/>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44679B">
      <w:pPr>
        <w:pStyle w:val="Bibliography"/>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44679B">
      <w:pPr>
        <w:pStyle w:val="Bibliography"/>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44679B">
      <w:pPr>
        <w:pStyle w:val="Bibliography"/>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44679B">
      <w:pPr>
        <w:pStyle w:val="Bibliography"/>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44679B">
      <w:pPr>
        <w:pStyle w:val="Bibliography"/>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44679B">
      <w:pPr>
        <w:pStyle w:val="Bibliography"/>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44679B">
      <w:pPr>
        <w:pStyle w:val="Bibliography"/>
        <w:rPr>
          <w:rFonts w:ascii="Aptos" w:hAnsi="Aptos"/>
        </w:rPr>
      </w:pPr>
      <w:r w:rsidRPr="0044679B">
        <w:rPr>
          <w:rFonts w:ascii="Aptos" w:hAnsi="Aptos"/>
        </w:rPr>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44679B">
      <w:pPr>
        <w:pStyle w:val="Bibliography"/>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44679B">
      <w:pPr>
        <w:pStyle w:val="Bibliography"/>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44679B">
      <w:pPr>
        <w:pStyle w:val="Bibliography"/>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44679B">
      <w:pPr>
        <w:pStyle w:val="Bibliography"/>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44679B">
      <w:pPr>
        <w:pStyle w:val="Bibliography"/>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44679B">
      <w:pPr>
        <w:pStyle w:val="Bibliography"/>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44679B">
      <w:pPr>
        <w:pStyle w:val="Bibliography"/>
        <w:rPr>
          <w:rFonts w:ascii="Aptos" w:hAnsi="Aptos"/>
        </w:rPr>
      </w:pPr>
      <w:r w:rsidRPr="0044679B">
        <w:rPr>
          <w:rFonts w:ascii="Aptos" w:hAnsi="Aptos"/>
        </w:rPr>
        <w:t>Loss, S. R., T. Will, S. S. Loss, and P. P. Marra (2014). Bird–building collisions in the United States: Estimates of annual mortality and species vulnerability. The Condor 116:8–23.</w:t>
      </w:r>
    </w:p>
    <w:p w14:paraId="6833968A" w14:textId="77777777" w:rsidR="0044679B" w:rsidRPr="0044679B" w:rsidRDefault="0044679B" w:rsidP="0044679B">
      <w:pPr>
        <w:pStyle w:val="Bibliography"/>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44679B">
      <w:pPr>
        <w:pStyle w:val="Bibliography"/>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44679B">
      <w:pPr>
        <w:pStyle w:val="Bibliography"/>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44679B">
      <w:pPr>
        <w:pStyle w:val="Bibliography"/>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44679B">
      <w:pPr>
        <w:pStyle w:val="Bibliography"/>
        <w:rPr>
          <w:rFonts w:ascii="Aptos" w:hAnsi="Aptos"/>
        </w:rPr>
      </w:pPr>
      <w:r w:rsidRPr="0044679B">
        <w:rPr>
          <w:rFonts w:ascii="Aptos" w:hAnsi="Aptos"/>
        </w:rPr>
        <w:lastRenderedPageBreak/>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44679B">
      <w:pPr>
        <w:pStyle w:val="Bibliography"/>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44679B">
      <w:pPr>
        <w:pStyle w:val="Bibliography"/>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44679B">
      <w:pPr>
        <w:pStyle w:val="Bibliography"/>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44679B">
      <w:pPr>
        <w:pStyle w:val="Bibliography"/>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569AEB29" w14:textId="77777777" w:rsidR="0044679B" w:rsidRPr="0044679B" w:rsidRDefault="0044679B" w:rsidP="0044679B">
      <w:pPr>
        <w:pStyle w:val="Bibliography"/>
        <w:rPr>
          <w:rFonts w:ascii="Aptos" w:hAnsi="Aptos"/>
        </w:rPr>
      </w:pPr>
      <w:r w:rsidRPr="0044679B">
        <w:rPr>
          <w:rFonts w:ascii="Aptos" w:hAnsi="Aptos"/>
        </w:rPr>
        <w:t>Plummer, M. (2003). JAGS: A program for analysis of Bayesian graphical models using Gibbs sampling. Proceedings of the 3rd international workshop on distributed statistical computing. Vienna, Austria, pp. 1–10.</w:t>
      </w:r>
    </w:p>
    <w:p w14:paraId="103C6C0C" w14:textId="77777777" w:rsidR="0044679B" w:rsidRPr="0044679B" w:rsidRDefault="0044679B" w:rsidP="0044679B">
      <w:pPr>
        <w:pStyle w:val="Bibliography"/>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Pr="0044679B" w:rsidRDefault="0044679B" w:rsidP="0044679B">
      <w:pPr>
        <w:pStyle w:val="Bibliography"/>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44679B">
      <w:pPr>
        <w:pStyle w:val="Bibliography"/>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Pr="0044679B" w:rsidRDefault="0044679B" w:rsidP="0044679B">
      <w:pPr>
        <w:pStyle w:val="Bibliography"/>
        <w:rPr>
          <w:rFonts w:ascii="Aptos" w:hAnsi="Aptos"/>
        </w:rPr>
      </w:pPr>
      <w:r w:rsidRPr="0044679B">
        <w:rPr>
          <w:rFonts w:ascii="Aptos" w:hAnsi="Aptos"/>
        </w:rPr>
        <w:t>Ruscio, J. (2008). A probability-based measure of effect size: robustness to base rates and other factors. Psychological methods 13:19.</w:t>
      </w:r>
    </w:p>
    <w:p w14:paraId="52D428A9" w14:textId="77777777" w:rsidR="0044679B" w:rsidRPr="0044679B" w:rsidRDefault="0044679B" w:rsidP="0044679B">
      <w:pPr>
        <w:pStyle w:val="Bibliography"/>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44679B">
      <w:pPr>
        <w:pStyle w:val="Bibliography"/>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44679B">
      <w:pPr>
        <w:pStyle w:val="Bibliography"/>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C7151B">
      <w:pPr>
        <w:pStyle w:val="Bibliography"/>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E45"/>
    <w:rsid w:val="00006399"/>
    <w:rsid w:val="000077DB"/>
    <w:rsid w:val="000103D8"/>
    <w:rsid w:val="00010605"/>
    <w:rsid w:val="00010E87"/>
    <w:rsid w:val="0001288F"/>
    <w:rsid w:val="00013934"/>
    <w:rsid w:val="000165DF"/>
    <w:rsid w:val="00020AE6"/>
    <w:rsid w:val="00020C0B"/>
    <w:rsid w:val="00023E1A"/>
    <w:rsid w:val="00025C20"/>
    <w:rsid w:val="00026BC8"/>
    <w:rsid w:val="00027317"/>
    <w:rsid w:val="000278C4"/>
    <w:rsid w:val="00027A34"/>
    <w:rsid w:val="00030B9A"/>
    <w:rsid w:val="00032CE0"/>
    <w:rsid w:val="00034A23"/>
    <w:rsid w:val="000374DB"/>
    <w:rsid w:val="00040237"/>
    <w:rsid w:val="0004077A"/>
    <w:rsid w:val="00041823"/>
    <w:rsid w:val="00043319"/>
    <w:rsid w:val="000439E3"/>
    <w:rsid w:val="000450A2"/>
    <w:rsid w:val="0004566E"/>
    <w:rsid w:val="00045B93"/>
    <w:rsid w:val="0004679F"/>
    <w:rsid w:val="000477B0"/>
    <w:rsid w:val="00050526"/>
    <w:rsid w:val="000526A4"/>
    <w:rsid w:val="0005335B"/>
    <w:rsid w:val="00054F68"/>
    <w:rsid w:val="00057B9B"/>
    <w:rsid w:val="00057D64"/>
    <w:rsid w:val="0006174B"/>
    <w:rsid w:val="0006305C"/>
    <w:rsid w:val="00070162"/>
    <w:rsid w:val="00071F63"/>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52EB"/>
    <w:rsid w:val="000A627F"/>
    <w:rsid w:val="000A655E"/>
    <w:rsid w:val="000A7C90"/>
    <w:rsid w:val="000B018B"/>
    <w:rsid w:val="000B3C94"/>
    <w:rsid w:val="000B6285"/>
    <w:rsid w:val="000B7CD5"/>
    <w:rsid w:val="000C04AA"/>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B9A"/>
    <w:rsid w:val="000F0B44"/>
    <w:rsid w:val="000F326E"/>
    <w:rsid w:val="00101061"/>
    <w:rsid w:val="00107059"/>
    <w:rsid w:val="001078DA"/>
    <w:rsid w:val="00114955"/>
    <w:rsid w:val="00114A98"/>
    <w:rsid w:val="00117A9F"/>
    <w:rsid w:val="00122FAA"/>
    <w:rsid w:val="00123A30"/>
    <w:rsid w:val="00124113"/>
    <w:rsid w:val="00125841"/>
    <w:rsid w:val="0012661B"/>
    <w:rsid w:val="00131F0A"/>
    <w:rsid w:val="00132549"/>
    <w:rsid w:val="001357D3"/>
    <w:rsid w:val="00140B83"/>
    <w:rsid w:val="00143425"/>
    <w:rsid w:val="00145C14"/>
    <w:rsid w:val="0014690A"/>
    <w:rsid w:val="001470A9"/>
    <w:rsid w:val="0014735B"/>
    <w:rsid w:val="00150BFF"/>
    <w:rsid w:val="00150D5D"/>
    <w:rsid w:val="00157135"/>
    <w:rsid w:val="0016353E"/>
    <w:rsid w:val="00163C11"/>
    <w:rsid w:val="00164553"/>
    <w:rsid w:val="00166E29"/>
    <w:rsid w:val="00172520"/>
    <w:rsid w:val="001759F9"/>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39B8"/>
    <w:rsid w:val="001A4B52"/>
    <w:rsid w:val="001A7E3F"/>
    <w:rsid w:val="001B0CBF"/>
    <w:rsid w:val="001B4169"/>
    <w:rsid w:val="001B4C99"/>
    <w:rsid w:val="001B4E28"/>
    <w:rsid w:val="001B5E9D"/>
    <w:rsid w:val="001C123A"/>
    <w:rsid w:val="001C2114"/>
    <w:rsid w:val="001C2C11"/>
    <w:rsid w:val="001C2E57"/>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E5B"/>
    <w:rsid w:val="001F6812"/>
    <w:rsid w:val="001F6E5E"/>
    <w:rsid w:val="0020265D"/>
    <w:rsid w:val="00203EDA"/>
    <w:rsid w:val="002047A3"/>
    <w:rsid w:val="00206E0F"/>
    <w:rsid w:val="002071A1"/>
    <w:rsid w:val="00214F22"/>
    <w:rsid w:val="00216C03"/>
    <w:rsid w:val="00221A06"/>
    <w:rsid w:val="00223258"/>
    <w:rsid w:val="00224299"/>
    <w:rsid w:val="002315DB"/>
    <w:rsid w:val="00234EA1"/>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C19"/>
    <w:rsid w:val="00266082"/>
    <w:rsid w:val="00274EA4"/>
    <w:rsid w:val="00275272"/>
    <w:rsid w:val="00277E8E"/>
    <w:rsid w:val="002829A8"/>
    <w:rsid w:val="00282AF3"/>
    <w:rsid w:val="00283ACB"/>
    <w:rsid w:val="002855D5"/>
    <w:rsid w:val="0029046E"/>
    <w:rsid w:val="0029450C"/>
    <w:rsid w:val="00294F7E"/>
    <w:rsid w:val="00295708"/>
    <w:rsid w:val="002A3287"/>
    <w:rsid w:val="002A44BE"/>
    <w:rsid w:val="002A6F20"/>
    <w:rsid w:val="002B00BC"/>
    <w:rsid w:val="002B1F18"/>
    <w:rsid w:val="002B3961"/>
    <w:rsid w:val="002B5B1D"/>
    <w:rsid w:val="002B623B"/>
    <w:rsid w:val="002C5C74"/>
    <w:rsid w:val="002C5E37"/>
    <w:rsid w:val="002C7222"/>
    <w:rsid w:val="002D1427"/>
    <w:rsid w:val="002D2776"/>
    <w:rsid w:val="002D2FF9"/>
    <w:rsid w:val="002D50A6"/>
    <w:rsid w:val="002D5371"/>
    <w:rsid w:val="002D73FC"/>
    <w:rsid w:val="002E0192"/>
    <w:rsid w:val="002E3CEA"/>
    <w:rsid w:val="002E4336"/>
    <w:rsid w:val="002E46A4"/>
    <w:rsid w:val="002F0FD5"/>
    <w:rsid w:val="002F120D"/>
    <w:rsid w:val="002F34E8"/>
    <w:rsid w:val="002F5AA7"/>
    <w:rsid w:val="00301FBA"/>
    <w:rsid w:val="00305392"/>
    <w:rsid w:val="00306007"/>
    <w:rsid w:val="00306811"/>
    <w:rsid w:val="003070B7"/>
    <w:rsid w:val="003109FB"/>
    <w:rsid w:val="00311094"/>
    <w:rsid w:val="0031144D"/>
    <w:rsid w:val="00313632"/>
    <w:rsid w:val="00314482"/>
    <w:rsid w:val="003228FD"/>
    <w:rsid w:val="00323F39"/>
    <w:rsid w:val="00324DAE"/>
    <w:rsid w:val="00325687"/>
    <w:rsid w:val="00327F32"/>
    <w:rsid w:val="00331CF4"/>
    <w:rsid w:val="003321FE"/>
    <w:rsid w:val="00332D6E"/>
    <w:rsid w:val="00333574"/>
    <w:rsid w:val="00335684"/>
    <w:rsid w:val="00335C2D"/>
    <w:rsid w:val="0033654C"/>
    <w:rsid w:val="00337BE6"/>
    <w:rsid w:val="0034074A"/>
    <w:rsid w:val="00340EF2"/>
    <w:rsid w:val="00342DE8"/>
    <w:rsid w:val="003442E6"/>
    <w:rsid w:val="00344591"/>
    <w:rsid w:val="00350BE0"/>
    <w:rsid w:val="003569F0"/>
    <w:rsid w:val="00356A82"/>
    <w:rsid w:val="00357080"/>
    <w:rsid w:val="00357182"/>
    <w:rsid w:val="0035720C"/>
    <w:rsid w:val="0036037A"/>
    <w:rsid w:val="00360ECD"/>
    <w:rsid w:val="00361258"/>
    <w:rsid w:val="003619D0"/>
    <w:rsid w:val="00363441"/>
    <w:rsid w:val="0036370B"/>
    <w:rsid w:val="00364511"/>
    <w:rsid w:val="00364EB1"/>
    <w:rsid w:val="00364EF6"/>
    <w:rsid w:val="0036505F"/>
    <w:rsid w:val="0036753C"/>
    <w:rsid w:val="00367598"/>
    <w:rsid w:val="00367CB1"/>
    <w:rsid w:val="003733E9"/>
    <w:rsid w:val="003754E8"/>
    <w:rsid w:val="00376A44"/>
    <w:rsid w:val="00380241"/>
    <w:rsid w:val="003838F1"/>
    <w:rsid w:val="00385ECD"/>
    <w:rsid w:val="00386539"/>
    <w:rsid w:val="00386640"/>
    <w:rsid w:val="0038751B"/>
    <w:rsid w:val="0038775B"/>
    <w:rsid w:val="0039295D"/>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2ED"/>
    <w:rsid w:val="003E10F7"/>
    <w:rsid w:val="003E1B10"/>
    <w:rsid w:val="003E272E"/>
    <w:rsid w:val="003E42E4"/>
    <w:rsid w:val="003E4332"/>
    <w:rsid w:val="003E4DF1"/>
    <w:rsid w:val="003E6510"/>
    <w:rsid w:val="003F20AB"/>
    <w:rsid w:val="003F2326"/>
    <w:rsid w:val="003F294C"/>
    <w:rsid w:val="003F2A3F"/>
    <w:rsid w:val="003F6DA2"/>
    <w:rsid w:val="004007BF"/>
    <w:rsid w:val="004054B5"/>
    <w:rsid w:val="0040721D"/>
    <w:rsid w:val="004118ED"/>
    <w:rsid w:val="0041578D"/>
    <w:rsid w:val="00416A7F"/>
    <w:rsid w:val="00421CA5"/>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4969"/>
    <w:rsid w:val="00444C62"/>
    <w:rsid w:val="00445150"/>
    <w:rsid w:val="0044679B"/>
    <w:rsid w:val="004506A6"/>
    <w:rsid w:val="004523BB"/>
    <w:rsid w:val="00454099"/>
    <w:rsid w:val="004546C4"/>
    <w:rsid w:val="00454D0D"/>
    <w:rsid w:val="004626A7"/>
    <w:rsid w:val="004634E8"/>
    <w:rsid w:val="00463DE7"/>
    <w:rsid w:val="004650D9"/>
    <w:rsid w:val="00470BD4"/>
    <w:rsid w:val="00471DA6"/>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F6"/>
    <w:rsid w:val="004B1FC4"/>
    <w:rsid w:val="004B32E4"/>
    <w:rsid w:val="004B33CE"/>
    <w:rsid w:val="004B5A68"/>
    <w:rsid w:val="004C20C6"/>
    <w:rsid w:val="004C2168"/>
    <w:rsid w:val="004C27BA"/>
    <w:rsid w:val="004C51E7"/>
    <w:rsid w:val="004C61A9"/>
    <w:rsid w:val="004C6A17"/>
    <w:rsid w:val="004D1022"/>
    <w:rsid w:val="004D5A0B"/>
    <w:rsid w:val="004D6D56"/>
    <w:rsid w:val="004E0520"/>
    <w:rsid w:val="004E6196"/>
    <w:rsid w:val="004F425E"/>
    <w:rsid w:val="004F4A36"/>
    <w:rsid w:val="004F7D3C"/>
    <w:rsid w:val="005020CB"/>
    <w:rsid w:val="00504700"/>
    <w:rsid w:val="0051198F"/>
    <w:rsid w:val="0051504D"/>
    <w:rsid w:val="005152E5"/>
    <w:rsid w:val="00520561"/>
    <w:rsid w:val="0052145A"/>
    <w:rsid w:val="00522DA6"/>
    <w:rsid w:val="00523F3F"/>
    <w:rsid w:val="00524F7A"/>
    <w:rsid w:val="00526828"/>
    <w:rsid w:val="00526D58"/>
    <w:rsid w:val="00526F5B"/>
    <w:rsid w:val="0053186A"/>
    <w:rsid w:val="005319BF"/>
    <w:rsid w:val="00534AF9"/>
    <w:rsid w:val="005362B3"/>
    <w:rsid w:val="005369A6"/>
    <w:rsid w:val="005371FB"/>
    <w:rsid w:val="00537F9B"/>
    <w:rsid w:val="0054066C"/>
    <w:rsid w:val="00540B79"/>
    <w:rsid w:val="005419E1"/>
    <w:rsid w:val="00542ACF"/>
    <w:rsid w:val="00542E39"/>
    <w:rsid w:val="005432BC"/>
    <w:rsid w:val="00543D87"/>
    <w:rsid w:val="005451AE"/>
    <w:rsid w:val="00546672"/>
    <w:rsid w:val="00547E02"/>
    <w:rsid w:val="00550A6D"/>
    <w:rsid w:val="005512B8"/>
    <w:rsid w:val="005531E8"/>
    <w:rsid w:val="00556EAE"/>
    <w:rsid w:val="00560C10"/>
    <w:rsid w:val="00561480"/>
    <w:rsid w:val="00562A78"/>
    <w:rsid w:val="00563240"/>
    <w:rsid w:val="00570F51"/>
    <w:rsid w:val="005711A0"/>
    <w:rsid w:val="005740E1"/>
    <w:rsid w:val="005742F0"/>
    <w:rsid w:val="00577558"/>
    <w:rsid w:val="00580558"/>
    <w:rsid w:val="005811CD"/>
    <w:rsid w:val="00582670"/>
    <w:rsid w:val="00582E3D"/>
    <w:rsid w:val="00583C9F"/>
    <w:rsid w:val="00590208"/>
    <w:rsid w:val="0059321C"/>
    <w:rsid w:val="00593E6E"/>
    <w:rsid w:val="00594946"/>
    <w:rsid w:val="00594F98"/>
    <w:rsid w:val="00597B09"/>
    <w:rsid w:val="005A0F48"/>
    <w:rsid w:val="005A2BD5"/>
    <w:rsid w:val="005B0133"/>
    <w:rsid w:val="005B0902"/>
    <w:rsid w:val="005B17AF"/>
    <w:rsid w:val="005B49D7"/>
    <w:rsid w:val="005B6A27"/>
    <w:rsid w:val="005C07B7"/>
    <w:rsid w:val="005C505F"/>
    <w:rsid w:val="005C5785"/>
    <w:rsid w:val="005C5E81"/>
    <w:rsid w:val="005C605F"/>
    <w:rsid w:val="005C6527"/>
    <w:rsid w:val="005C7BCA"/>
    <w:rsid w:val="005D19A1"/>
    <w:rsid w:val="005D1A58"/>
    <w:rsid w:val="005D28EB"/>
    <w:rsid w:val="005D3073"/>
    <w:rsid w:val="005E00B7"/>
    <w:rsid w:val="005E0561"/>
    <w:rsid w:val="005E0E66"/>
    <w:rsid w:val="005E2238"/>
    <w:rsid w:val="00602B22"/>
    <w:rsid w:val="00603793"/>
    <w:rsid w:val="0060672F"/>
    <w:rsid w:val="00610232"/>
    <w:rsid w:val="00612F17"/>
    <w:rsid w:val="00615FC5"/>
    <w:rsid w:val="00627002"/>
    <w:rsid w:val="00627907"/>
    <w:rsid w:val="00632D86"/>
    <w:rsid w:val="00633B37"/>
    <w:rsid w:val="00634A30"/>
    <w:rsid w:val="0063744F"/>
    <w:rsid w:val="00640D31"/>
    <w:rsid w:val="00642C9F"/>
    <w:rsid w:val="006434FA"/>
    <w:rsid w:val="00647B29"/>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91B"/>
    <w:rsid w:val="00676994"/>
    <w:rsid w:val="0068110C"/>
    <w:rsid w:val="00681DB5"/>
    <w:rsid w:val="006846EC"/>
    <w:rsid w:val="00685A3F"/>
    <w:rsid w:val="00690A7F"/>
    <w:rsid w:val="006916EE"/>
    <w:rsid w:val="006927AD"/>
    <w:rsid w:val="00693DAC"/>
    <w:rsid w:val="00695328"/>
    <w:rsid w:val="0069747B"/>
    <w:rsid w:val="006A107B"/>
    <w:rsid w:val="006A22A9"/>
    <w:rsid w:val="006A3CA7"/>
    <w:rsid w:val="006A4F2B"/>
    <w:rsid w:val="006A565B"/>
    <w:rsid w:val="006A69C6"/>
    <w:rsid w:val="006A746B"/>
    <w:rsid w:val="006B0E38"/>
    <w:rsid w:val="006B2457"/>
    <w:rsid w:val="006B2C9E"/>
    <w:rsid w:val="006B3853"/>
    <w:rsid w:val="006B503F"/>
    <w:rsid w:val="006B622C"/>
    <w:rsid w:val="006C00B7"/>
    <w:rsid w:val="006C0352"/>
    <w:rsid w:val="006C1560"/>
    <w:rsid w:val="006C1FB2"/>
    <w:rsid w:val="006C4605"/>
    <w:rsid w:val="006C4AE3"/>
    <w:rsid w:val="006C662F"/>
    <w:rsid w:val="006C7B83"/>
    <w:rsid w:val="006D3336"/>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75D1"/>
    <w:rsid w:val="006F7F03"/>
    <w:rsid w:val="007009AC"/>
    <w:rsid w:val="00704557"/>
    <w:rsid w:val="00710598"/>
    <w:rsid w:val="00710937"/>
    <w:rsid w:val="00710B20"/>
    <w:rsid w:val="007117B0"/>
    <w:rsid w:val="0071292F"/>
    <w:rsid w:val="0071486F"/>
    <w:rsid w:val="00714E62"/>
    <w:rsid w:val="00715E7E"/>
    <w:rsid w:val="00721094"/>
    <w:rsid w:val="00723586"/>
    <w:rsid w:val="00724534"/>
    <w:rsid w:val="00727CBA"/>
    <w:rsid w:val="00730323"/>
    <w:rsid w:val="0073114E"/>
    <w:rsid w:val="00731446"/>
    <w:rsid w:val="00732038"/>
    <w:rsid w:val="0074002D"/>
    <w:rsid w:val="00742A8D"/>
    <w:rsid w:val="00744028"/>
    <w:rsid w:val="00744819"/>
    <w:rsid w:val="0074500A"/>
    <w:rsid w:val="00746262"/>
    <w:rsid w:val="007475B0"/>
    <w:rsid w:val="00750EEB"/>
    <w:rsid w:val="007538E8"/>
    <w:rsid w:val="00754291"/>
    <w:rsid w:val="007547C9"/>
    <w:rsid w:val="00754CE3"/>
    <w:rsid w:val="007568D5"/>
    <w:rsid w:val="007616A6"/>
    <w:rsid w:val="007619C7"/>
    <w:rsid w:val="00761B49"/>
    <w:rsid w:val="007626ED"/>
    <w:rsid w:val="00762792"/>
    <w:rsid w:val="00762C47"/>
    <w:rsid w:val="0076625B"/>
    <w:rsid w:val="0076742D"/>
    <w:rsid w:val="00770F41"/>
    <w:rsid w:val="00772954"/>
    <w:rsid w:val="00774031"/>
    <w:rsid w:val="00782514"/>
    <w:rsid w:val="007835E0"/>
    <w:rsid w:val="0078398C"/>
    <w:rsid w:val="00792630"/>
    <w:rsid w:val="00793210"/>
    <w:rsid w:val="007933F4"/>
    <w:rsid w:val="00793519"/>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F10"/>
    <w:rsid w:val="007E24BF"/>
    <w:rsid w:val="007E2B61"/>
    <w:rsid w:val="007E4E8F"/>
    <w:rsid w:val="007E6B87"/>
    <w:rsid w:val="007E762A"/>
    <w:rsid w:val="007E7770"/>
    <w:rsid w:val="007E792B"/>
    <w:rsid w:val="007F0C49"/>
    <w:rsid w:val="007F108C"/>
    <w:rsid w:val="007F11EE"/>
    <w:rsid w:val="007F1BCC"/>
    <w:rsid w:val="007F1DB4"/>
    <w:rsid w:val="007F1FE7"/>
    <w:rsid w:val="007F42AC"/>
    <w:rsid w:val="007F4C01"/>
    <w:rsid w:val="007F6A3D"/>
    <w:rsid w:val="007F7010"/>
    <w:rsid w:val="007F7334"/>
    <w:rsid w:val="007F75F7"/>
    <w:rsid w:val="008020DD"/>
    <w:rsid w:val="0080240B"/>
    <w:rsid w:val="008032BF"/>
    <w:rsid w:val="00805210"/>
    <w:rsid w:val="008070DF"/>
    <w:rsid w:val="00807F59"/>
    <w:rsid w:val="008108BB"/>
    <w:rsid w:val="008117C8"/>
    <w:rsid w:val="00816FCF"/>
    <w:rsid w:val="008219B3"/>
    <w:rsid w:val="00822FA2"/>
    <w:rsid w:val="00830B25"/>
    <w:rsid w:val="00831A8C"/>
    <w:rsid w:val="00833DEA"/>
    <w:rsid w:val="00835905"/>
    <w:rsid w:val="0083649A"/>
    <w:rsid w:val="0084187A"/>
    <w:rsid w:val="00844F4F"/>
    <w:rsid w:val="008463F1"/>
    <w:rsid w:val="008514B2"/>
    <w:rsid w:val="00852C80"/>
    <w:rsid w:val="00852E29"/>
    <w:rsid w:val="00854AE9"/>
    <w:rsid w:val="0085598A"/>
    <w:rsid w:val="0085654E"/>
    <w:rsid w:val="00856935"/>
    <w:rsid w:val="00860C39"/>
    <w:rsid w:val="00860CB9"/>
    <w:rsid w:val="00861D31"/>
    <w:rsid w:val="00865AE1"/>
    <w:rsid w:val="00865B66"/>
    <w:rsid w:val="00874E4D"/>
    <w:rsid w:val="0087594F"/>
    <w:rsid w:val="00876438"/>
    <w:rsid w:val="0087784B"/>
    <w:rsid w:val="008802D9"/>
    <w:rsid w:val="00881152"/>
    <w:rsid w:val="00881BB6"/>
    <w:rsid w:val="00881EE0"/>
    <w:rsid w:val="00882B4E"/>
    <w:rsid w:val="00882EE4"/>
    <w:rsid w:val="008838E2"/>
    <w:rsid w:val="00883D31"/>
    <w:rsid w:val="00885DA7"/>
    <w:rsid w:val="0088630E"/>
    <w:rsid w:val="008927C3"/>
    <w:rsid w:val="00893151"/>
    <w:rsid w:val="00893E67"/>
    <w:rsid w:val="00895932"/>
    <w:rsid w:val="00895EA0"/>
    <w:rsid w:val="00897194"/>
    <w:rsid w:val="00897B90"/>
    <w:rsid w:val="008A3E1D"/>
    <w:rsid w:val="008A7A28"/>
    <w:rsid w:val="008B0A47"/>
    <w:rsid w:val="008B2228"/>
    <w:rsid w:val="008B2253"/>
    <w:rsid w:val="008B7DF8"/>
    <w:rsid w:val="008C01B7"/>
    <w:rsid w:val="008C2B94"/>
    <w:rsid w:val="008C5C4F"/>
    <w:rsid w:val="008D03C8"/>
    <w:rsid w:val="008D0578"/>
    <w:rsid w:val="008D1052"/>
    <w:rsid w:val="008D2A76"/>
    <w:rsid w:val="008D2D68"/>
    <w:rsid w:val="008D3E3D"/>
    <w:rsid w:val="008D3FB3"/>
    <w:rsid w:val="008D531C"/>
    <w:rsid w:val="008D6314"/>
    <w:rsid w:val="008D7414"/>
    <w:rsid w:val="008E1122"/>
    <w:rsid w:val="008E1707"/>
    <w:rsid w:val="008E1C8F"/>
    <w:rsid w:val="008E2635"/>
    <w:rsid w:val="008E37F7"/>
    <w:rsid w:val="008E396C"/>
    <w:rsid w:val="008E42C0"/>
    <w:rsid w:val="008E511A"/>
    <w:rsid w:val="008E58F2"/>
    <w:rsid w:val="008E5DE9"/>
    <w:rsid w:val="008E6945"/>
    <w:rsid w:val="008E723E"/>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30B90"/>
    <w:rsid w:val="00931948"/>
    <w:rsid w:val="00933441"/>
    <w:rsid w:val="00934E8B"/>
    <w:rsid w:val="0093533D"/>
    <w:rsid w:val="00940006"/>
    <w:rsid w:val="009400AE"/>
    <w:rsid w:val="00944DA7"/>
    <w:rsid w:val="0094724A"/>
    <w:rsid w:val="00950CC9"/>
    <w:rsid w:val="00950E0F"/>
    <w:rsid w:val="00952092"/>
    <w:rsid w:val="009522C4"/>
    <w:rsid w:val="009528AE"/>
    <w:rsid w:val="00954630"/>
    <w:rsid w:val="00954638"/>
    <w:rsid w:val="00957BE2"/>
    <w:rsid w:val="0096535E"/>
    <w:rsid w:val="00966430"/>
    <w:rsid w:val="00967820"/>
    <w:rsid w:val="00967A38"/>
    <w:rsid w:val="00973413"/>
    <w:rsid w:val="0097344C"/>
    <w:rsid w:val="00973869"/>
    <w:rsid w:val="009746FB"/>
    <w:rsid w:val="00976AF4"/>
    <w:rsid w:val="0098390D"/>
    <w:rsid w:val="00983CDA"/>
    <w:rsid w:val="0099054E"/>
    <w:rsid w:val="00991B3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D0609"/>
    <w:rsid w:val="009D13BB"/>
    <w:rsid w:val="009D3AA4"/>
    <w:rsid w:val="009D3E3A"/>
    <w:rsid w:val="009D65EF"/>
    <w:rsid w:val="009D6B28"/>
    <w:rsid w:val="009D7FE7"/>
    <w:rsid w:val="009E1379"/>
    <w:rsid w:val="009E32D7"/>
    <w:rsid w:val="009E4DA3"/>
    <w:rsid w:val="009E60B2"/>
    <w:rsid w:val="009E6A03"/>
    <w:rsid w:val="009E7F47"/>
    <w:rsid w:val="009F4BFA"/>
    <w:rsid w:val="00A01013"/>
    <w:rsid w:val="00A02B41"/>
    <w:rsid w:val="00A02E3B"/>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692B"/>
    <w:rsid w:val="00A26C3E"/>
    <w:rsid w:val="00A27819"/>
    <w:rsid w:val="00A30578"/>
    <w:rsid w:val="00A30B2A"/>
    <w:rsid w:val="00A33342"/>
    <w:rsid w:val="00A34FE7"/>
    <w:rsid w:val="00A35B33"/>
    <w:rsid w:val="00A36647"/>
    <w:rsid w:val="00A36BE1"/>
    <w:rsid w:val="00A37FD2"/>
    <w:rsid w:val="00A41905"/>
    <w:rsid w:val="00A43331"/>
    <w:rsid w:val="00A45A2E"/>
    <w:rsid w:val="00A50437"/>
    <w:rsid w:val="00A5067A"/>
    <w:rsid w:val="00A51234"/>
    <w:rsid w:val="00A5251B"/>
    <w:rsid w:val="00A53F71"/>
    <w:rsid w:val="00A547A9"/>
    <w:rsid w:val="00A61951"/>
    <w:rsid w:val="00A61DC7"/>
    <w:rsid w:val="00A620C1"/>
    <w:rsid w:val="00A6264B"/>
    <w:rsid w:val="00A6789F"/>
    <w:rsid w:val="00A71473"/>
    <w:rsid w:val="00A729EA"/>
    <w:rsid w:val="00A7340F"/>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6385"/>
    <w:rsid w:val="00AC1B4F"/>
    <w:rsid w:val="00AC2AEA"/>
    <w:rsid w:val="00AC2E9F"/>
    <w:rsid w:val="00AC54AE"/>
    <w:rsid w:val="00AC77AC"/>
    <w:rsid w:val="00AC7C24"/>
    <w:rsid w:val="00AD1A11"/>
    <w:rsid w:val="00AD4913"/>
    <w:rsid w:val="00AD5F14"/>
    <w:rsid w:val="00AD67F8"/>
    <w:rsid w:val="00AE1914"/>
    <w:rsid w:val="00AE1BDF"/>
    <w:rsid w:val="00AE6D8E"/>
    <w:rsid w:val="00AF1AF4"/>
    <w:rsid w:val="00B04C2A"/>
    <w:rsid w:val="00B100F3"/>
    <w:rsid w:val="00B16C91"/>
    <w:rsid w:val="00B175E3"/>
    <w:rsid w:val="00B24AB1"/>
    <w:rsid w:val="00B253D5"/>
    <w:rsid w:val="00B256DE"/>
    <w:rsid w:val="00B25DCE"/>
    <w:rsid w:val="00B26320"/>
    <w:rsid w:val="00B263B8"/>
    <w:rsid w:val="00B26569"/>
    <w:rsid w:val="00B27492"/>
    <w:rsid w:val="00B32706"/>
    <w:rsid w:val="00B33A01"/>
    <w:rsid w:val="00B3560A"/>
    <w:rsid w:val="00B3593D"/>
    <w:rsid w:val="00B36C0D"/>
    <w:rsid w:val="00B40250"/>
    <w:rsid w:val="00B4094C"/>
    <w:rsid w:val="00B413BB"/>
    <w:rsid w:val="00B441A6"/>
    <w:rsid w:val="00B44242"/>
    <w:rsid w:val="00B4587B"/>
    <w:rsid w:val="00B534C8"/>
    <w:rsid w:val="00B54957"/>
    <w:rsid w:val="00B56572"/>
    <w:rsid w:val="00B5787D"/>
    <w:rsid w:val="00B638A6"/>
    <w:rsid w:val="00B67666"/>
    <w:rsid w:val="00B70348"/>
    <w:rsid w:val="00B72ABF"/>
    <w:rsid w:val="00B73079"/>
    <w:rsid w:val="00B73261"/>
    <w:rsid w:val="00B74B98"/>
    <w:rsid w:val="00B75F8E"/>
    <w:rsid w:val="00B77FFE"/>
    <w:rsid w:val="00B83ECD"/>
    <w:rsid w:val="00B84D0A"/>
    <w:rsid w:val="00B855F6"/>
    <w:rsid w:val="00B91509"/>
    <w:rsid w:val="00B91C6A"/>
    <w:rsid w:val="00B949A5"/>
    <w:rsid w:val="00B967EE"/>
    <w:rsid w:val="00BA1B34"/>
    <w:rsid w:val="00BA2D50"/>
    <w:rsid w:val="00BA52D1"/>
    <w:rsid w:val="00BB19E1"/>
    <w:rsid w:val="00BB252F"/>
    <w:rsid w:val="00BB4C74"/>
    <w:rsid w:val="00BB53DA"/>
    <w:rsid w:val="00BC315C"/>
    <w:rsid w:val="00BC43FC"/>
    <w:rsid w:val="00BC5B9A"/>
    <w:rsid w:val="00BC5E94"/>
    <w:rsid w:val="00BC71F5"/>
    <w:rsid w:val="00BC7FFE"/>
    <w:rsid w:val="00BD0A0C"/>
    <w:rsid w:val="00BD1F04"/>
    <w:rsid w:val="00BD2953"/>
    <w:rsid w:val="00BD2A78"/>
    <w:rsid w:val="00BD3B28"/>
    <w:rsid w:val="00BE04ED"/>
    <w:rsid w:val="00BE0978"/>
    <w:rsid w:val="00BE213D"/>
    <w:rsid w:val="00BE7525"/>
    <w:rsid w:val="00BE7E05"/>
    <w:rsid w:val="00BE7E13"/>
    <w:rsid w:val="00BF1AE3"/>
    <w:rsid w:val="00BF25C3"/>
    <w:rsid w:val="00BF261A"/>
    <w:rsid w:val="00BF4096"/>
    <w:rsid w:val="00BF45B2"/>
    <w:rsid w:val="00BF6695"/>
    <w:rsid w:val="00BF6757"/>
    <w:rsid w:val="00BF7532"/>
    <w:rsid w:val="00BF7C52"/>
    <w:rsid w:val="00BF7DE0"/>
    <w:rsid w:val="00C010B8"/>
    <w:rsid w:val="00C02315"/>
    <w:rsid w:val="00C0239F"/>
    <w:rsid w:val="00C02839"/>
    <w:rsid w:val="00C02FAA"/>
    <w:rsid w:val="00C0582C"/>
    <w:rsid w:val="00C06ACA"/>
    <w:rsid w:val="00C06EAD"/>
    <w:rsid w:val="00C076CD"/>
    <w:rsid w:val="00C11067"/>
    <w:rsid w:val="00C13337"/>
    <w:rsid w:val="00C147D6"/>
    <w:rsid w:val="00C14C81"/>
    <w:rsid w:val="00C1549E"/>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64EA"/>
    <w:rsid w:val="00C56962"/>
    <w:rsid w:val="00C56F38"/>
    <w:rsid w:val="00C5740B"/>
    <w:rsid w:val="00C57EB0"/>
    <w:rsid w:val="00C60569"/>
    <w:rsid w:val="00C6475B"/>
    <w:rsid w:val="00C7151B"/>
    <w:rsid w:val="00C71F5F"/>
    <w:rsid w:val="00C72D49"/>
    <w:rsid w:val="00C73E1F"/>
    <w:rsid w:val="00C744E8"/>
    <w:rsid w:val="00C766DB"/>
    <w:rsid w:val="00C76ABB"/>
    <w:rsid w:val="00C777D9"/>
    <w:rsid w:val="00C778EC"/>
    <w:rsid w:val="00C81708"/>
    <w:rsid w:val="00C86106"/>
    <w:rsid w:val="00C8798F"/>
    <w:rsid w:val="00C87990"/>
    <w:rsid w:val="00C906B1"/>
    <w:rsid w:val="00C91070"/>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2B2"/>
    <w:rsid w:val="00CC3890"/>
    <w:rsid w:val="00CC62C4"/>
    <w:rsid w:val="00CC769C"/>
    <w:rsid w:val="00CD034C"/>
    <w:rsid w:val="00CD1EC8"/>
    <w:rsid w:val="00CE2337"/>
    <w:rsid w:val="00CE2FF1"/>
    <w:rsid w:val="00CE6FC3"/>
    <w:rsid w:val="00CF2824"/>
    <w:rsid w:val="00CF596A"/>
    <w:rsid w:val="00CF5E20"/>
    <w:rsid w:val="00CF63D8"/>
    <w:rsid w:val="00CF655F"/>
    <w:rsid w:val="00CF6588"/>
    <w:rsid w:val="00D00DF7"/>
    <w:rsid w:val="00D027B2"/>
    <w:rsid w:val="00D02D10"/>
    <w:rsid w:val="00D049D4"/>
    <w:rsid w:val="00D04F48"/>
    <w:rsid w:val="00D05CE6"/>
    <w:rsid w:val="00D112B7"/>
    <w:rsid w:val="00D11473"/>
    <w:rsid w:val="00D13494"/>
    <w:rsid w:val="00D13E7E"/>
    <w:rsid w:val="00D146DB"/>
    <w:rsid w:val="00D14C5C"/>
    <w:rsid w:val="00D1638D"/>
    <w:rsid w:val="00D25A53"/>
    <w:rsid w:val="00D273B1"/>
    <w:rsid w:val="00D330E5"/>
    <w:rsid w:val="00D336D5"/>
    <w:rsid w:val="00D3604B"/>
    <w:rsid w:val="00D37053"/>
    <w:rsid w:val="00D400DC"/>
    <w:rsid w:val="00D40671"/>
    <w:rsid w:val="00D413B4"/>
    <w:rsid w:val="00D4414E"/>
    <w:rsid w:val="00D47E9B"/>
    <w:rsid w:val="00D51347"/>
    <w:rsid w:val="00D5147E"/>
    <w:rsid w:val="00D53281"/>
    <w:rsid w:val="00D54B6E"/>
    <w:rsid w:val="00D573FD"/>
    <w:rsid w:val="00D578C9"/>
    <w:rsid w:val="00D57AD5"/>
    <w:rsid w:val="00D60420"/>
    <w:rsid w:val="00D62470"/>
    <w:rsid w:val="00D62CDA"/>
    <w:rsid w:val="00D634C5"/>
    <w:rsid w:val="00D63CF3"/>
    <w:rsid w:val="00D63D6C"/>
    <w:rsid w:val="00D663BE"/>
    <w:rsid w:val="00D72369"/>
    <w:rsid w:val="00D73B5B"/>
    <w:rsid w:val="00D73C42"/>
    <w:rsid w:val="00D75754"/>
    <w:rsid w:val="00D765D6"/>
    <w:rsid w:val="00D80132"/>
    <w:rsid w:val="00D81284"/>
    <w:rsid w:val="00D82BB7"/>
    <w:rsid w:val="00D82C75"/>
    <w:rsid w:val="00D839E3"/>
    <w:rsid w:val="00D860E1"/>
    <w:rsid w:val="00D863C7"/>
    <w:rsid w:val="00D8651B"/>
    <w:rsid w:val="00D8667E"/>
    <w:rsid w:val="00D87855"/>
    <w:rsid w:val="00D90A4E"/>
    <w:rsid w:val="00D91CD5"/>
    <w:rsid w:val="00D93C8E"/>
    <w:rsid w:val="00DA0F89"/>
    <w:rsid w:val="00DA1989"/>
    <w:rsid w:val="00DA21DC"/>
    <w:rsid w:val="00DA2363"/>
    <w:rsid w:val="00DA3A8E"/>
    <w:rsid w:val="00DA407C"/>
    <w:rsid w:val="00DA5271"/>
    <w:rsid w:val="00DA7DAB"/>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D0EDE"/>
    <w:rsid w:val="00DD2C94"/>
    <w:rsid w:val="00DD3367"/>
    <w:rsid w:val="00DD4780"/>
    <w:rsid w:val="00DD63A2"/>
    <w:rsid w:val="00DD67CF"/>
    <w:rsid w:val="00DD7BF5"/>
    <w:rsid w:val="00DE379E"/>
    <w:rsid w:val="00DE4945"/>
    <w:rsid w:val="00DE4D23"/>
    <w:rsid w:val="00DE55A8"/>
    <w:rsid w:val="00DE60FB"/>
    <w:rsid w:val="00DE75DF"/>
    <w:rsid w:val="00DF0650"/>
    <w:rsid w:val="00DF220C"/>
    <w:rsid w:val="00DF2EF5"/>
    <w:rsid w:val="00DF3520"/>
    <w:rsid w:val="00DF5AEA"/>
    <w:rsid w:val="00E0026F"/>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52BF"/>
    <w:rsid w:val="00E16ADD"/>
    <w:rsid w:val="00E2121B"/>
    <w:rsid w:val="00E22318"/>
    <w:rsid w:val="00E23927"/>
    <w:rsid w:val="00E23F59"/>
    <w:rsid w:val="00E24D4B"/>
    <w:rsid w:val="00E30983"/>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60182"/>
    <w:rsid w:val="00E609BF"/>
    <w:rsid w:val="00E613AC"/>
    <w:rsid w:val="00E62F89"/>
    <w:rsid w:val="00E7227A"/>
    <w:rsid w:val="00E72567"/>
    <w:rsid w:val="00E731CD"/>
    <w:rsid w:val="00E73840"/>
    <w:rsid w:val="00E7453A"/>
    <w:rsid w:val="00E74B47"/>
    <w:rsid w:val="00E7769C"/>
    <w:rsid w:val="00E778DC"/>
    <w:rsid w:val="00E80AA2"/>
    <w:rsid w:val="00E8222F"/>
    <w:rsid w:val="00E84493"/>
    <w:rsid w:val="00E8562B"/>
    <w:rsid w:val="00E87047"/>
    <w:rsid w:val="00E87AB4"/>
    <w:rsid w:val="00E87F4B"/>
    <w:rsid w:val="00E87F5A"/>
    <w:rsid w:val="00E91922"/>
    <w:rsid w:val="00E93053"/>
    <w:rsid w:val="00E94423"/>
    <w:rsid w:val="00E96EF7"/>
    <w:rsid w:val="00EA3117"/>
    <w:rsid w:val="00EA35CD"/>
    <w:rsid w:val="00EA4EAA"/>
    <w:rsid w:val="00EA54CA"/>
    <w:rsid w:val="00EB0289"/>
    <w:rsid w:val="00EB18DF"/>
    <w:rsid w:val="00EB2B74"/>
    <w:rsid w:val="00EB2F72"/>
    <w:rsid w:val="00EB3D4B"/>
    <w:rsid w:val="00EB5527"/>
    <w:rsid w:val="00EC0E98"/>
    <w:rsid w:val="00EC124E"/>
    <w:rsid w:val="00EC3AD1"/>
    <w:rsid w:val="00EC6BEA"/>
    <w:rsid w:val="00EC77DA"/>
    <w:rsid w:val="00ED1977"/>
    <w:rsid w:val="00ED3A05"/>
    <w:rsid w:val="00ED45F1"/>
    <w:rsid w:val="00ED4AFC"/>
    <w:rsid w:val="00ED70E1"/>
    <w:rsid w:val="00EE3210"/>
    <w:rsid w:val="00EE4891"/>
    <w:rsid w:val="00EE4E59"/>
    <w:rsid w:val="00EE6025"/>
    <w:rsid w:val="00EF06A4"/>
    <w:rsid w:val="00EF2D1F"/>
    <w:rsid w:val="00EF4BDD"/>
    <w:rsid w:val="00EF5B26"/>
    <w:rsid w:val="00EF6063"/>
    <w:rsid w:val="00EF6108"/>
    <w:rsid w:val="00EF70E9"/>
    <w:rsid w:val="00F00668"/>
    <w:rsid w:val="00F023A5"/>
    <w:rsid w:val="00F02835"/>
    <w:rsid w:val="00F033BD"/>
    <w:rsid w:val="00F05789"/>
    <w:rsid w:val="00F05A1B"/>
    <w:rsid w:val="00F0639C"/>
    <w:rsid w:val="00F07BEB"/>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7711"/>
    <w:rsid w:val="00F73298"/>
    <w:rsid w:val="00F738E9"/>
    <w:rsid w:val="00F73BA5"/>
    <w:rsid w:val="00F7503E"/>
    <w:rsid w:val="00F77309"/>
    <w:rsid w:val="00F80403"/>
    <w:rsid w:val="00F810D3"/>
    <w:rsid w:val="00F854A1"/>
    <w:rsid w:val="00F86394"/>
    <w:rsid w:val="00F87BAB"/>
    <w:rsid w:val="00F90703"/>
    <w:rsid w:val="00F92534"/>
    <w:rsid w:val="00F92826"/>
    <w:rsid w:val="00F9461D"/>
    <w:rsid w:val="00F96A97"/>
    <w:rsid w:val="00FA2B33"/>
    <w:rsid w:val="00FA73D8"/>
    <w:rsid w:val="00FA78F6"/>
    <w:rsid w:val="00FA7937"/>
    <w:rsid w:val="00FB0C97"/>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5242</Words>
  <Characters>29881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3</cp:revision>
  <cp:lastPrinted>2024-04-02T16:23:00Z</cp:lastPrinted>
  <dcterms:created xsi:type="dcterms:W3CDTF">2024-04-02T18:32:00Z</dcterms:created>
  <dcterms:modified xsi:type="dcterms:W3CDTF">2024-04-02T18:32:00Z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