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AEEC0" w14:textId="77777777" w:rsidR="00372D9A" w:rsidRDefault="00372D9A" w:rsidP="00372D9A">
      <w:pPr>
        <w:spacing w:line="480" w:lineRule="auto"/>
      </w:pPr>
      <w:r>
        <w:t xml:space="preserve">While bird migration altitudes are increasingly well described, low altitude migrations (&lt;200m above ground level) have received less focus, in large part due to the difficulty in studying these altitudes with conventional weather radar. </w:t>
      </w:r>
    </w:p>
    <w:p w14:paraId="525BA237" w14:textId="77777777" w:rsidR="00372D9A" w:rsidRDefault="00372D9A" w:rsidP="003867F3">
      <w:pPr>
        <w:spacing w:line="480" w:lineRule="auto"/>
      </w:pPr>
    </w:p>
    <w:p w14:paraId="7F7AD3DE" w14:textId="04E4A35C" w:rsidR="003867F3" w:rsidRDefault="003867F3" w:rsidP="003867F3">
      <w:pPr>
        <w:spacing w:line="480" w:lineRule="auto"/>
      </w:pPr>
      <w:r w:rsidRPr="00E30983">
        <w:t xml:space="preserve">large part due to advances in </w:t>
      </w:r>
      <w:commentRangeStart w:id="0"/>
      <w:commentRangeStart w:id="1"/>
      <w:commentRangeStart w:id="2"/>
      <w:r w:rsidRPr="00E30983">
        <w:t xml:space="preserve">radar ornithology </w:t>
      </w:r>
      <w:commentRangeEnd w:id="0"/>
      <w:r>
        <w:rPr>
          <w:rStyle w:val="CommentReference"/>
        </w:rPr>
        <w:commentReference w:id="0"/>
      </w:r>
      <w:commentRangeEnd w:id="1"/>
      <w:r>
        <w:rPr>
          <w:rStyle w:val="CommentReference"/>
        </w:rPr>
        <w:commentReference w:id="1"/>
      </w:r>
      <w:commentRangeEnd w:id="2"/>
      <w:r>
        <w:rPr>
          <w:rStyle w:val="CommentReference"/>
        </w:rPr>
        <w:commentReference w:id="2"/>
      </w:r>
      <w:r w:rsidRPr="00E30983">
        <w:t xml:space="preserve">and the widespread availability of weather radar data </w:t>
      </w:r>
      <w:r w:rsidRPr="0048042E">
        <w:rPr>
          <w:rFonts w:ascii="Aptos" w:hAnsi="Aptos"/>
        </w:rPr>
        <w:t>(Bridge et al. 2011)</w:t>
      </w:r>
      <w:r w:rsidRPr="00E30983">
        <w:t>. These studies describe the altitudinal distributions of nocturnal avian migrants and</w:t>
      </w:r>
      <w:r>
        <w:t xml:space="preserve"> </w:t>
      </w:r>
      <w:r w:rsidRPr="00E30983">
        <w:t>examine how those altitudes shift in response to wind, weather, and artificial light</w:t>
      </w:r>
      <w:r>
        <w:t xml:space="preserve"> </w:t>
      </w:r>
      <w:r w:rsidRPr="00E30983">
        <w:t xml:space="preserve">during migration </w:t>
      </w:r>
      <w:r w:rsidRPr="003A5DA2">
        <w:rPr>
          <w:rFonts w:ascii="Aptos" w:hAnsi="Aptos"/>
        </w:rPr>
        <w:t>(Bauer et al. 2019)</w:t>
      </w:r>
      <w:r w:rsidRPr="00E30983">
        <w:t>. These studies primarily focused on altitudes &gt;200m</w:t>
      </w:r>
      <w:r>
        <w:t xml:space="preserve"> above ground level (a.g.l.)</w:t>
      </w:r>
      <w:r w:rsidRPr="00E30983">
        <w:t>, at which</w:t>
      </w:r>
      <w:r>
        <w:t xml:space="preserve"> most</w:t>
      </w:r>
      <w:r w:rsidRPr="00E30983">
        <w:t xml:space="preserve"> birds </w:t>
      </w:r>
      <w:r>
        <w:t xml:space="preserve">are assumed to </w:t>
      </w:r>
      <w:r w:rsidRPr="00E30983">
        <w:t xml:space="preserve">spend </w:t>
      </w:r>
      <w:r>
        <w:t>the bulk o</w:t>
      </w:r>
      <w:r w:rsidRPr="00E30983">
        <w:t xml:space="preserve">f their migratory flights. </w:t>
      </w:r>
    </w:p>
    <w:p w14:paraId="261ED620" w14:textId="77777777" w:rsidR="003867F3" w:rsidRPr="00E30983" w:rsidRDefault="003867F3" w:rsidP="003867F3">
      <w:pPr>
        <w:spacing w:line="480" w:lineRule="auto"/>
      </w:pPr>
      <w:r w:rsidRPr="00E30983">
        <w:t>However, altitudes &lt;200m are particularly relevant to avian mortality during migrat</w:t>
      </w:r>
      <w:r>
        <w:t>ory flights, given this represents the height range of most</w:t>
      </w:r>
      <w:r w:rsidRPr="00E30983">
        <w:t xml:space="preserve"> obstacles </w:t>
      </w:r>
      <w:r>
        <w:t>posing</w:t>
      </w:r>
      <w:r w:rsidRPr="00E30983">
        <w:t xml:space="preserve"> collision</w:t>
      </w:r>
      <w:r>
        <w:t xml:space="preserve"> risk,</w:t>
      </w:r>
      <w:r w:rsidRPr="00E30983">
        <w:t xml:space="preserve"> includ</w:t>
      </w:r>
      <w:r>
        <w:t>ing</w:t>
      </w:r>
      <w:r w:rsidRPr="00E30983">
        <w:t xml:space="preserve"> buildings (</w:t>
      </w:r>
      <w:r w:rsidRPr="002D73FC">
        <w:t>365</w:t>
      </w:r>
      <w:r>
        <w:t>–</w:t>
      </w:r>
      <w:r w:rsidRPr="002D73FC">
        <w:t>988</w:t>
      </w:r>
      <w:r w:rsidRPr="00E30983">
        <w:t xml:space="preserve"> million bird collisions per year,</w:t>
      </w:r>
      <w:r>
        <w:t xml:space="preserve"> </w:t>
      </w:r>
      <w:r w:rsidRPr="008E1707">
        <w:rPr>
          <w:rFonts w:ascii="Aptos" w:hAnsi="Aptos"/>
        </w:rPr>
        <w:t>Loss et al. 2014)</w:t>
      </w:r>
      <w:r w:rsidRPr="00E30983">
        <w:t>, wind turbines (</w:t>
      </w:r>
      <w:r>
        <w:t xml:space="preserve">234 thousand </w:t>
      </w:r>
      <w:r w:rsidRPr="00E30983">
        <w:t xml:space="preserve">bird collisions per year, </w:t>
      </w:r>
      <w:r w:rsidRPr="008E58F2">
        <w:rPr>
          <w:rFonts w:ascii="Aptos" w:hAnsi="Aptos"/>
        </w:rPr>
        <w:t>Loss et al. 2013)</w:t>
      </w:r>
      <w:r w:rsidRPr="00E30983">
        <w:t>, and communication towers (</w:t>
      </w:r>
      <w:r>
        <w:t>4–5</w:t>
      </w:r>
      <w:r w:rsidRPr="00E30983">
        <w:t xml:space="preserve"> million bird collisions per year, </w:t>
      </w:r>
      <w:r w:rsidRPr="0036370B">
        <w:rPr>
          <w:rFonts w:ascii="Aptos" w:hAnsi="Aptos"/>
        </w:rPr>
        <w:t>Gehring et al. 2011)</w:t>
      </w:r>
      <w:r w:rsidRPr="00E30983">
        <w:t>. Identifying</w:t>
      </w:r>
      <w:r>
        <w:t xml:space="preserve"> </w:t>
      </w:r>
      <w:commentRangeStart w:id="3"/>
      <w:r>
        <w:t>the frequency of</w:t>
      </w:r>
      <w:r w:rsidRPr="00E30983">
        <w:t xml:space="preserve"> avian flight</w:t>
      </w:r>
      <w:r>
        <w:t>s</w:t>
      </w:r>
      <w:r w:rsidRPr="00E30983">
        <w:t xml:space="preserve"> within</w:t>
      </w:r>
      <w:commentRangeEnd w:id="3"/>
      <w:r>
        <w:rPr>
          <w:rStyle w:val="CommentReference"/>
        </w:rPr>
        <w:commentReference w:id="3"/>
      </w:r>
      <w:r w:rsidRPr="00E30983">
        <w:t xml:space="preserve"> the altitudinal range of these obstacles is an important aspect of measuring avian vulnerability and directing conservation efforts.</w:t>
      </w:r>
    </w:p>
    <w:p w14:paraId="08094173" w14:textId="77777777" w:rsidR="003867F3" w:rsidRDefault="003867F3" w:rsidP="003867F3">
      <w:pPr>
        <w:spacing w:line="480" w:lineRule="auto"/>
      </w:pPr>
      <w:r>
        <w:tab/>
      </w:r>
    </w:p>
    <w:p w14:paraId="6620989D" w14:textId="77777777" w:rsidR="003867F3" w:rsidRDefault="003867F3" w:rsidP="003867F3">
      <w:pPr>
        <w:spacing w:line="480" w:lineRule="auto"/>
      </w:pPr>
      <w:r>
        <w:tab/>
      </w:r>
      <w:r w:rsidRPr="00E30983">
        <w:t xml:space="preserve">Most weather radar systems, such as NEXRAD in the United States, do not characterize </w:t>
      </w:r>
      <w:r>
        <w:t xml:space="preserve">migratory flight altitudes in the &lt;200m band effectively because ground-level obstacles and the curvature of the Earth cause the lowest observable altitude to increase with distance from the weather radar station </w:t>
      </w:r>
      <w:r w:rsidRPr="00350BE0">
        <w:rPr>
          <w:rFonts w:ascii="Aptos" w:hAnsi="Aptos"/>
        </w:rPr>
        <w:t>(Rogers et al. 2020)</w:t>
      </w:r>
      <w:r>
        <w:t xml:space="preserve">. </w:t>
      </w:r>
      <w:r w:rsidRPr="00E30983">
        <w:rPr>
          <w:rFonts w:ascii="Aptos" w:hAnsi="Aptos"/>
        </w:rPr>
        <w:t>Horton et al.</w:t>
      </w:r>
      <w:r>
        <w:rPr>
          <w:rFonts w:ascii="Aptos" w:hAnsi="Aptos"/>
        </w:rPr>
        <w:t xml:space="preserve"> (</w:t>
      </w:r>
      <w:r w:rsidRPr="00E30983">
        <w:rPr>
          <w:rFonts w:ascii="Aptos" w:hAnsi="Aptos"/>
        </w:rPr>
        <w:t>2016)</w:t>
      </w:r>
      <w:r>
        <w:t xml:space="preserve"> estimated mean flight altitudes for nocturnal migrants</w:t>
      </w:r>
      <w:r w:rsidRPr="00D3604B">
        <w:t xml:space="preserve"> </w:t>
      </w:r>
      <w:r>
        <w:t xml:space="preserve">throughout the United States as 418–459m a.g.l. and did not observe any flight altitudes below 120m. Several studies using bird-mounted transmitters and dataloggers, however, have characterized low altitude flights of nocturnal migrants. </w:t>
      </w:r>
      <w:r w:rsidRPr="00BB252F">
        <w:rPr>
          <w:rFonts w:ascii="Aptos" w:hAnsi="Aptos"/>
        </w:rPr>
        <w:t xml:space="preserve">Bowlin et al. </w:t>
      </w:r>
      <w:r>
        <w:rPr>
          <w:rFonts w:ascii="Aptos" w:hAnsi="Aptos"/>
        </w:rPr>
        <w:t>(</w:t>
      </w:r>
      <w:r w:rsidRPr="00BB252F">
        <w:rPr>
          <w:rFonts w:ascii="Aptos" w:hAnsi="Aptos"/>
        </w:rPr>
        <w:t>2015)</w:t>
      </w:r>
      <w:r>
        <w:t xml:space="preserve"> found that of 13 </w:t>
      </w:r>
      <w:r>
        <w:lastRenderedPageBreak/>
        <w:t>tracked Swainson’s Thrush (</w:t>
      </w:r>
      <w:proofErr w:type="spellStart"/>
      <w:r w:rsidRPr="001A39B8">
        <w:rPr>
          <w:i/>
          <w:iCs/>
        </w:rPr>
        <w:t>Catharus</w:t>
      </w:r>
      <w:proofErr w:type="spellEnd"/>
      <w:r w:rsidRPr="001A39B8">
        <w:rPr>
          <w:i/>
          <w:iCs/>
        </w:rPr>
        <w:t xml:space="preserve"> </w:t>
      </w:r>
      <w:proofErr w:type="spellStart"/>
      <w:r w:rsidRPr="001A39B8">
        <w:rPr>
          <w:i/>
          <w:iCs/>
        </w:rPr>
        <w:t>ustulatus</w:t>
      </w:r>
      <w:proofErr w:type="spellEnd"/>
      <w:r>
        <w:t>) migratory flights, one bird spent over an hour flying at altitudes &lt;100m before rising to altitudes of 300–500m. A second thrush spent the entirety of its ~</w:t>
      </w:r>
      <w:proofErr w:type="gramStart"/>
      <w:r>
        <w:t>2 hour</w:t>
      </w:r>
      <w:proofErr w:type="gramEnd"/>
      <w:r>
        <w:t xml:space="preserve"> migratory flight at an altitude of ~40 m. </w:t>
      </w:r>
      <w:commentRangeStart w:id="4"/>
      <w:proofErr w:type="spellStart"/>
      <w:r w:rsidRPr="00380241">
        <w:rPr>
          <w:rFonts w:ascii="Aptos" w:hAnsi="Aptos"/>
        </w:rPr>
        <w:t>Norevik</w:t>
      </w:r>
      <w:proofErr w:type="spellEnd"/>
      <w:r w:rsidRPr="00380241">
        <w:rPr>
          <w:rFonts w:ascii="Aptos" w:hAnsi="Aptos"/>
        </w:rPr>
        <w:t xml:space="preserve"> et al. </w:t>
      </w:r>
      <w:r>
        <w:rPr>
          <w:rFonts w:ascii="Aptos" w:hAnsi="Aptos"/>
        </w:rPr>
        <w:t>(</w:t>
      </w:r>
      <w:r w:rsidRPr="00380241">
        <w:rPr>
          <w:rFonts w:ascii="Aptos" w:hAnsi="Aptos"/>
        </w:rPr>
        <w:t>2021)</w:t>
      </w:r>
      <w:r>
        <w:t xml:space="preserve"> found that European Nightjar (</w:t>
      </w:r>
      <w:r w:rsidRPr="00045B93">
        <w:rPr>
          <w:i/>
          <w:iCs/>
        </w:rPr>
        <w:t>Caprimulgus europaeus</w:t>
      </w:r>
      <w:r>
        <w:t>) spend an appreciable portion of their migratory flights &lt;200m above ground level, especially during fall</w:t>
      </w:r>
      <w:commentRangeEnd w:id="4"/>
      <w:r>
        <w:rPr>
          <w:rStyle w:val="CommentReference"/>
        </w:rPr>
        <w:commentReference w:id="4"/>
      </w:r>
      <w:r>
        <w:t xml:space="preserve">. Flight altitudes likely have considerable inter-species variation due to morphological and physiological adaptations affecting the ability to achieve higher altitude flight </w:t>
      </w:r>
      <w:r w:rsidRPr="009B7BB6">
        <w:rPr>
          <w:rFonts w:ascii="Aptos" w:hAnsi="Aptos"/>
        </w:rPr>
        <w:t>(Butler 2016)</w:t>
      </w:r>
      <w:r>
        <w:t xml:space="preserve">, and a proclivity to fly at low altitudes could cause </w:t>
      </w:r>
      <w:r w:rsidRPr="00B967EE">
        <w:t>increased susceptibility to collision with airspace obstacles</w:t>
      </w:r>
      <w:r>
        <w:t xml:space="preserve">. </w:t>
      </w:r>
    </w:p>
    <w:p w14:paraId="027685EC" w14:textId="77777777" w:rsidR="00AA0089" w:rsidRDefault="00AA0089" w:rsidP="00AA0089">
      <w:pPr>
        <w:spacing w:line="480" w:lineRule="auto"/>
      </w:pPr>
      <w:r>
        <w:t>the circumstances which lead to low altitude flights and the prevalence</w:t>
      </w:r>
    </w:p>
    <w:p w14:paraId="17FC61D7" w14:textId="77777777" w:rsidR="00AA0089" w:rsidRDefault="00AA0089" w:rsidP="00AA0089">
      <w:pPr>
        <w:spacing w:line="480" w:lineRule="auto"/>
      </w:pPr>
      <w:r>
        <w:t xml:space="preserve"> Integration of these techniques with species-level data, such as from GPS transmitters, can allow us to better understand variation in airspace use among individuals or species and better understand why certain species are more vulnerable than others to obstacle collisions.</w:t>
      </w:r>
    </w:p>
    <w:p w14:paraId="484223F0" w14:textId="77777777" w:rsidR="00AA0089" w:rsidRDefault="00AA0089" w:rsidP="00AA0089">
      <w:pPr>
        <w:spacing w:line="480" w:lineRule="auto"/>
      </w:pPr>
    </w:p>
    <w:p w14:paraId="2C698CD3" w14:textId="77777777" w:rsidR="00AA0089" w:rsidRDefault="00AA0089" w:rsidP="00AA0089">
      <w:pPr>
        <w:spacing w:line="480" w:lineRule="auto"/>
      </w:pPr>
      <w:r>
        <w:t xml:space="preserve">However, airspace &lt;200m AGL remains understudied compared to higher altitudes, in large part due to limitations in weather radar below this altitude. The continued use of transmitters or dataloggers to track flight altitude can improve study of low altitude flight and contribute to knowledge of individual- and species-specific differences in use of low altitude airspace </w:t>
      </w:r>
      <w:r w:rsidRPr="000C04AA">
        <w:rPr>
          <w:rFonts w:ascii="Aptos" w:hAnsi="Aptos"/>
        </w:rPr>
        <w:t>(Bowlin et al. 2015)</w:t>
      </w:r>
      <w:r>
        <w:t xml:space="preserve">. Portable radar technologies may also provide opportunities to better quantify low altitude airspace use in local areas, and particularly in response to stimuli such as artificial light and weather </w:t>
      </w:r>
      <w:r w:rsidRPr="007E1F10">
        <w:rPr>
          <w:rFonts w:ascii="Aptos" w:hAnsi="Aptos"/>
        </w:rPr>
        <w:t>(Nilsson et al. 2018)</w:t>
      </w:r>
      <w:r>
        <w:t>. Further study may allow us to integrate data on flight and collision risk, to better understand the circumstances that result in obstacle collisions and guide mitigation strategies to reduce bird mortality.</w:t>
      </w:r>
    </w:p>
    <w:p w14:paraId="36FD8634" w14:textId="77777777" w:rsidR="007B6386" w:rsidRDefault="007B6386"/>
    <w:sectPr w:rsidR="007B6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ber M Roth" w:date="2024-03-28T20:03:00Z" w:initials="AMR">
    <w:p w14:paraId="0B8BB5F3" w14:textId="77777777" w:rsidR="003867F3" w:rsidRDefault="003867F3" w:rsidP="003867F3">
      <w:pPr>
        <w:pStyle w:val="CommentText"/>
      </w:pPr>
      <w:r>
        <w:rPr>
          <w:rStyle w:val="CommentReference"/>
        </w:rPr>
        <w:annotationRef/>
      </w:r>
      <w:r>
        <w:t xml:space="preserve">Actually there are quite a few advances besides radar. This report has a nice summary of the various methods used: </w:t>
      </w:r>
      <w:hyperlink r:id="rId1" w:history="1">
        <w:r w:rsidRPr="00AF1D02">
          <w:rPr>
            <w:rStyle w:val="Hyperlink"/>
          </w:rPr>
          <w:t>https://www.bto.org/sites/default/files/publications/rr666.pdf</w:t>
        </w:r>
      </w:hyperlink>
    </w:p>
    <w:p w14:paraId="09CFE8DF" w14:textId="77777777" w:rsidR="003867F3" w:rsidRDefault="003867F3" w:rsidP="003867F3">
      <w:pPr>
        <w:pStyle w:val="CommentText"/>
      </w:pPr>
      <w:r>
        <w:t>And also…</w:t>
      </w:r>
    </w:p>
    <w:p w14:paraId="08257254" w14:textId="77777777" w:rsidR="003867F3" w:rsidRDefault="003867F3" w:rsidP="003867F3">
      <w:pPr>
        <w:pStyle w:val="CommentText"/>
      </w:pPr>
      <w:hyperlink r:id="rId2" w:history="1">
        <w:r w:rsidRPr="00AF1D02">
          <w:rPr>
            <w:rStyle w:val="Hyperlink"/>
          </w:rPr>
          <w:t>https://doi.org/10.1111/jzo.12879</w:t>
        </w:r>
      </w:hyperlink>
    </w:p>
    <w:p w14:paraId="1F9FC6A7" w14:textId="77777777" w:rsidR="003867F3" w:rsidRDefault="003867F3" w:rsidP="003867F3">
      <w:pPr>
        <w:pStyle w:val="CommentText"/>
      </w:pPr>
    </w:p>
    <w:p w14:paraId="4F94A8BE" w14:textId="77777777" w:rsidR="003867F3" w:rsidRDefault="003867F3" w:rsidP="003867F3">
      <w:pPr>
        <w:pStyle w:val="CommentText"/>
      </w:pPr>
      <w:r>
        <w:t>It isn’t clear at this point why you are focusing just on radar studies in light of other methods also used to estimate flight heights.</w:t>
      </w:r>
    </w:p>
    <w:p w14:paraId="151A6415" w14:textId="77777777" w:rsidR="003867F3" w:rsidRDefault="003867F3" w:rsidP="003867F3">
      <w:pPr>
        <w:pStyle w:val="CommentText"/>
      </w:pPr>
    </w:p>
  </w:comment>
  <w:comment w:id="1" w:author="Liam Berigan" w:date="2024-03-29T16:59:00Z" w:initials="LB">
    <w:p w14:paraId="307E320D" w14:textId="77777777" w:rsidR="003867F3" w:rsidRDefault="003867F3" w:rsidP="003867F3">
      <w:pPr>
        <w:pStyle w:val="CommentText"/>
      </w:pPr>
      <w:r>
        <w:rPr>
          <w:rStyle w:val="CommentReference"/>
        </w:rPr>
        <w:annotationRef/>
      </w:r>
      <w:r>
        <w:t xml:space="preserve">Here’s the USFWS grey lit that Amber is referring to: </w:t>
      </w:r>
      <w:hyperlink r:id="rId3" w:history="1">
        <w:r w:rsidRPr="0083360A">
          <w:rPr>
            <w:rStyle w:val="Hyperlink"/>
          </w:rPr>
          <w:t>https://www.fws.gov/media/technical-seasonal-reports</w:t>
        </w:r>
      </w:hyperlink>
    </w:p>
  </w:comment>
  <w:comment w:id="2" w:author="Liam Akerlof Berigan" w:date="2024-03-31T13:16:00Z" w:initials="LB">
    <w:p w14:paraId="7452EDF1" w14:textId="77777777" w:rsidR="003867F3" w:rsidRDefault="003867F3" w:rsidP="003867F3">
      <w:pPr>
        <w:pStyle w:val="CommentText"/>
      </w:pPr>
      <w:r>
        <w:rPr>
          <w:rStyle w:val="CommentReference"/>
        </w:rPr>
        <w:annotationRef/>
      </w:r>
      <w:r>
        <w:t>“Including advances such as tk, tk, and radar. Altitudes &lt;200m are typically the most difficult to study, as large portions of this band falls below the threshold swept by weather radar devices which have become a prominent source of avian flight altitude data, especially at a continental scale”</w:t>
      </w:r>
    </w:p>
  </w:comment>
  <w:comment w:id="3" w:author="Erik" w:date="2024-03-26T06:34:00Z" w:initials="E">
    <w:p w14:paraId="2C7F32DC" w14:textId="77777777" w:rsidR="003867F3" w:rsidRDefault="003867F3" w:rsidP="003867F3">
      <w:pPr>
        <w:pStyle w:val="CommentText"/>
      </w:pPr>
      <w:r>
        <w:rPr>
          <w:rStyle w:val="CommentReference"/>
        </w:rPr>
        <w:annotationRef/>
      </w:r>
      <w:r>
        <w:t xml:space="preserve">It’s about how the birds fly, which is continuous, and not about the locations which are the abstract and discrete way we sample flight. This is a good example where you want to take the opportunity to focus on the biology and not the data. </w:t>
      </w:r>
    </w:p>
  </w:comment>
  <w:comment w:id="4" w:author="Liam Akerlof Berigan" w:date="2024-03-31T06:22:00Z" w:initials="LB">
    <w:p w14:paraId="26CEE296" w14:textId="77777777" w:rsidR="003867F3" w:rsidRDefault="003867F3" w:rsidP="003867F3">
      <w:pPr>
        <w:pStyle w:val="CommentText"/>
      </w:pPr>
      <w:r>
        <w:rPr>
          <w:rStyle w:val="CommentReference"/>
        </w:rPr>
        <w:annotationRef/>
      </w:r>
      <w:r>
        <w:t>This edited version is really reaching. Let’s see if I can replace it with something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1A6415" w15:done="0"/>
  <w15:commentEx w15:paraId="307E320D" w15:paraIdParent="151A6415" w15:done="0"/>
  <w15:commentEx w15:paraId="7452EDF1" w15:paraIdParent="151A6415" w15:done="0"/>
  <w15:commentEx w15:paraId="2C7F32DC" w15:done="0"/>
  <w15:commentEx w15:paraId="26CEE2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8663A2E" w16cex:dateUtc="2024-03-29T20:59:00Z"/>
  <w16cex:commentExtensible w16cex:durableId="0D4FA726" w16cex:dateUtc="2024-03-31T17:16:00Z"/>
  <w16cex:commentExtensible w16cex:durableId="2097AD48" w16cex:dateUtc="2024-03-31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1A6415" w16cid:durableId="6F3C38C2"/>
  <w16cid:commentId w16cid:paraId="307E320D" w16cid:durableId="58663A2E"/>
  <w16cid:commentId w16cid:paraId="7452EDF1" w16cid:durableId="0D4FA726"/>
  <w16cid:commentId w16cid:paraId="2C7F32DC" w16cid:durableId="78024213"/>
  <w16cid:commentId w16cid:paraId="26CEE296" w16cid:durableId="2097AD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ber M Roth">
    <w15:presenceInfo w15:providerId="None" w15:userId="Amber M Roth"/>
  </w15:person>
  <w15:person w15:author="Liam Berigan">
    <w15:presenceInfo w15:providerId="Windows Live" w15:userId="b424e30a7aea528d"/>
  </w15:person>
  <w15:person w15:author="Liam Akerlof Berigan">
    <w15:presenceInfo w15:providerId="AD" w15:userId="S::liam.berigan@maine.edu::1a8d56fc-de3a-4c9a-bb6e-0d52f35feb29"/>
  </w15:person>
  <w15:person w15:author="Erik">
    <w15:presenceInfo w15:providerId="Windows Live" w15:userId="68ba8fcec572d0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B1"/>
    <w:rsid w:val="001151B1"/>
    <w:rsid w:val="002F2601"/>
    <w:rsid w:val="00372D9A"/>
    <w:rsid w:val="003867F3"/>
    <w:rsid w:val="003F7AC1"/>
    <w:rsid w:val="007B6386"/>
    <w:rsid w:val="00A60F50"/>
    <w:rsid w:val="00AA0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9741"/>
  <w15:chartTrackingRefBased/>
  <w15:docId w15:val="{897CBC9C-5DAF-4CCC-ADEB-21E40F1E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7F3"/>
  </w:style>
  <w:style w:type="paragraph" w:styleId="Heading1">
    <w:name w:val="heading 1"/>
    <w:basedOn w:val="Normal"/>
    <w:next w:val="Normal"/>
    <w:link w:val="Heading1Char"/>
    <w:uiPriority w:val="9"/>
    <w:qFormat/>
    <w:rsid w:val="00115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1B1"/>
    <w:rPr>
      <w:rFonts w:eastAsiaTheme="majorEastAsia" w:cstheme="majorBidi"/>
      <w:color w:val="272727" w:themeColor="text1" w:themeTint="D8"/>
    </w:rPr>
  </w:style>
  <w:style w:type="paragraph" w:styleId="Title">
    <w:name w:val="Title"/>
    <w:basedOn w:val="Normal"/>
    <w:next w:val="Normal"/>
    <w:link w:val="TitleChar"/>
    <w:uiPriority w:val="10"/>
    <w:qFormat/>
    <w:rsid w:val="00115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1B1"/>
    <w:pPr>
      <w:spacing w:before="160"/>
      <w:jc w:val="center"/>
    </w:pPr>
    <w:rPr>
      <w:i/>
      <w:iCs/>
      <w:color w:val="404040" w:themeColor="text1" w:themeTint="BF"/>
    </w:rPr>
  </w:style>
  <w:style w:type="character" w:customStyle="1" w:styleId="QuoteChar">
    <w:name w:val="Quote Char"/>
    <w:basedOn w:val="DefaultParagraphFont"/>
    <w:link w:val="Quote"/>
    <w:uiPriority w:val="29"/>
    <w:rsid w:val="001151B1"/>
    <w:rPr>
      <w:i/>
      <w:iCs/>
      <w:color w:val="404040" w:themeColor="text1" w:themeTint="BF"/>
    </w:rPr>
  </w:style>
  <w:style w:type="paragraph" w:styleId="ListParagraph">
    <w:name w:val="List Paragraph"/>
    <w:basedOn w:val="Normal"/>
    <w:uiPriority w:val="34"/>
    <w:qFormat/>
    <w:rsid w:val="001151B1"/>
    <w:pPr>
      <w:ind w:left="720"/>
      <w:contextualSpacing/>
    </w:pPr>
  </w:style>
  <w:style w:type="character" w:styleId="IntenseEmphasis">
    <w:name w:val="Intense Emphasis"/>
    <w:basedOn w:val="DefaultParagraphFont"/>
    <w:uiPriority w:val="21"/>
    <w:qFormat/>
    <w:rsid w:val="001151B1"/>
    <w:rPr>
      <w:i/>
      <w:iCs/>
      <w:color w:val="0F4761" w:themeColor="accent1" w:themeShade="BF"/>
    </w:rPr>
  </w:style>
  <w:style w:type="paragraph" w:styleId="IntenseQuote">
    <w:name w:val="Intense Quote"/>
    <w:basedOn w:val="Normal"/>
    <w:next w:val="Normal"/>
    <w:link w:val="IntenseQuoteChar"/>
    <w:uiPriority w:val="30"/>
    <w:qFormat/>
    <w:rsid w:val="00115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1B1"/>
    <w:rPr>
      <w:i/>
      <w:iCs/>
      <w:color w:val="0F4761" w:themeColor="accent1" w:themeShade="BF"/>
    </w:rPr>
  </w:style>
  <w:style w:type="character" w:styleId="IntenseReference">
    <w:name w:val="Intense Reference"/>
    <w:basedOn w:val="DefaultParagraphFont"/>
    <w:uiPriority w:val="32"/>
    <w:qFormat/>
    <w:rsid w:val="001151B1"/>
    <w:rPr>
      <w:b/>
      <w:bCs/>
      <w:smallCaps/>
      <w:color w:val="0F4761" w:themeColor="accent1" w:themeShade="BF"/>
      <w:spacing w:val="5"/>
    </w:rPr>
  </w:style>
  <w:style w:type="character" w:styleId="CommentReference">
    <w:name w:val="annotation reference"/>
    <w:basedOn w:val="DefaultParagraphFont"/>
    <w:uiPriority w:val="99"/>
    <w:semiHidden/>
    <w:unhideWhenUsed/>
    <w:rsid w:val="003867F3"/>
    <w:rPr>
      <w:sz w:val="16"/>
      <w:szCs w:val="16"/>
    </w:rPr>
  </w:style>
  <w:style w:type="paragraph" w:styleId="CommentText">
    <w:name w:val="annotation text"/>
    <w:basedOn w:val="Normal"/>
    <w:link w:val="CommentTextChar"/>
    <w:uiPriority w:val="99"/>
    <w:unhideWhenUsed/>
    <w:rsid w:val="003867F3"/>
    <w:pPr>
      <w:spacing w:line="240" w:lineRule="auto"/>
    </w:pPr>
    <w:rPr>
      <w:sz w:val="20"/>
      <w:szCs w:val="20"/>
    </w:rPr>
  </w:style>
  <w:style w:type="character" w:customStyle="1" w:styleId="CommentTextChar">
    <w:name w:val="Comment Text Char"/>
    <w:basedOn w:val="DefaultParagraphFont"/>
    <w:link w:val="CommentText"/>
    <w:uiPriority w:val="99"/>
    <w:rsid w:val="003867F3"/>
    <w:rPr>
      <w:sz w:val="20"/>
      <w:szCs w:val="20"/>
    </w:rPr>
  </w:style>
  <w:style w:type="character" w:styleId="Hyperlink">
    <w:name w:val="Hyperlink"/>
    <w:basedOn w:val="DefaultParagraphFont"/>
    <w:uiPriority w:val="99"/>
    <w:unhideWhenUsed/>
    <w:rsid w:val="003867F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ws.gov/media/technical-seasonal-reports" TargetMode="External"/><Relationship Id="rId2" Type="http://schemas.openxmlformats.org/officeDocument/2006/relationships/hyperlink" Target="https://doi.org/10.1111/jzo.12879" TargetMode="External"/><Relationship Id="rId1" Type="http://schemas.openxmlformats.org/officeDocument/2006/relationships/hyperlink" Target="https://www.bto.org/sites/default/files/publications/rr666.pdf"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4</cp:revision>
  <dcterms:created xsi:type="dcterms:W3CDTF">2024-03-31T22:01:00Z</dcterms:created>
  <dcterms:modified xsi:type="dcterms:W3CDTF">2024-03-31T23:54:00Z</dcterms:modified>
</cp:coreProperties>
</file>