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550" w:rsidRDefault="00E82BBF">
      <w:pPr>
        <w:pStyle w:val="Standard"/>
        <w:spacing w:after="240" w:line="300" w:lineRule="atLeast"/>
        <w:rPr>
          <w:rFonts w:ascii="Times" w:eastAsia="Times" w:hAnsi="Times" w:cs="Times"/>
          <w:b/>
          <w:bCs/>
          <w:sz w:val="27"/>
          <w:szCs w:val="27"/>
          <w:lang w:val="en-US"/>
        </w:rPr>
      </w:pPr>
      <w:r>
        <w:rPr>
          <w:rFonts w:ascii="Times" w:hAnsi="Times"/>
          <w:b/>
          <w:bCs/>
          <w:sz w:val="27"/>
          <w:szCs w:val="27"/>
          <w:lang w:val="en-US"/>
        </w:rPr>
        <w:t xml:space="preserve">Assignment 2. </w:t>
      </w:r>
    </w:p>
    <w:p w:rsidR="000F6E8E" w:rsidRDefault="000F6E8E">
      <w:pPr>
        <w:pStyle w:val="Standard"/>
        <w:spacing w:after="240" w:line="300" w:lineRule="atLeast"/>
        <w:rPr>
          <w:rFonts w:ascii="Times" w:eastAsia="Times" w:hAnsi="Times" w:cs="Times"/>
          <w:b/>
          <w:bCs/>
          <w:sz w:val="27"/>
          <w:szCs w:val="27"/>
          <w:lang w:val="en-US"/>
        </w:rPr>
      </w:pPr>
      <w:r>
        <w:rPr>
          <w:rFonts w:ascii="Times" w:hAnsi="Times"/>
          <w:b/>
          <w:bCs/>
          <w:sz w:val="27"/>
          <w:szCs w:val="27"/>
          <w:lang w:val="en-US"/>
        </w:rPr>
        <w:t xml:space="preserve">Modelling life cycle. </w:t>
      </w:r>
    </w:p>
    <w:p w:rsidR="000F6E8E" w:rsidRDefault="000F6E8E">
      <w:pPr>
        <w:pStyle w:val="Standard"/>
        <w:spacing w:after="240" w:line="300" w:lineRule="atLeast"/>
        <w:rPr>
          <w:rFonts w:ascii="Times" w:eastAsia="Times" w:hAnsi="Times" w:cs="Times"/>
          <w:b/>
          <w:bCs/>
          <w:sz w:val="27"/>
          <w:szCs w:val="27"/>
          <w:lang w:val="en-US"/>
        </w:rPr>
      </w:pPr>
    </w:p>
    <w:sdt>
      <w:sdtPr>
        <w:id w:val="367498546"/>
        <w:docPartObj>
          <w:docPartGallery w:val="Table of Contents"/>
          <w:docPartUnique/>
        </w:docPartObj>
      </w:sdtPr>
      <w:sdtEndPr>
        <w:rPr>
          <w:rFonts w:ascii="Times New Roman" w:eastAsia="Arial Unicode MS" w:hAnsi="Times New Roman" w:cs="Times New Roman"/>
          <w:b/>
          <w:bCs/>
          <w:color w:val="auto"/>
          <w:sz w:val="24"/>
          <w:szCs w:val="24"/>
          <w:bdr w:val="nil"/>
          <w:lang w:val="en-US" w:eastAsia="en-US"/>
        </w:rPr>
      </w:sdtEndPr>
      <w:sdtContent>
        <w:p w:rsidR="000F6E8E" w:rsidRDefault="000F6E8E">
          <w:pPr>
            <w:pStyle w:val="Overskrift"/>
          </w:pPr>
          <w:r>
            <w:t>Conten</w:t>
          </w:r>
          <w:bookmarkStart w:id="0" w:name="_GoBack"/>
          <w:bookmarkEnd w:id="0"/>
          <w:r>
            <w:t>t:</w:t>
          </w:r>
        </w:p>
        <w:p w:rsidR="000F6E8E" w:rsidRDefault="000F6E8E">
          <w:pPr>
            <w:pStyle w:val="Indholdsfortegnelse1"/>
            <w:tabs>
              <w:tab w:val="right" w:leader="dot" w:pos="9628"/>
            </w:tabs>
            <w:rPr>
              <w:noProof/>
            </w:rPr>
          </w:pPr>
          <w:r>
            <w:fldChar w:fldCharType="begin"/>
          </w:r>
          <w:r w:rsidRPr="000F6E8E">
            <w:rPr>
              <w:lang w:val="da-DK"/>
            </w:rPr>
            <w:instrText xml:space="preserve"> TOC \o "1-3" \h \z \u </w:instrText>
          </w:r>
          <w:r>
            <w:fldChar w:fldCharType="separate"/>
          </w:r>
          <w:hyperlink w:anchor="_Toc21372339" w:history="1">
            <w:r w:rsidRPr="00BB5D7E">
              <w:rPr>
                <w:rStyle w:val="Hyperlink"/>
                <w:rFonts w:eastAsia="Times"/>
                <w:noProof/>
              </w:rPr>
              <w:t>Components</w:t>
            </w:r>
            <w:r>
              <w:rPr>
                <w:noProof/>
                <w:webHidden/>
              </w:rPr>
              <w:tab/>
            </w:r>
            <w:r>
              <w:rPr>
                <w:noProof/>
                <w:webHidden/>
              </w:rPr>
              <w:fldChar w:fldCharType="begin"/>
            </w:r>
            <w:r>
              <w:rPr>
                <w:noProof/>
                <w:webHidden/>
              </w:rPr>
              <w:instrText xml:space="preserve"> PAGEREF _Toc21372339 \h </w:instrText>
            </w:r>
            <w:r>
              <w:rPr>
                <w:noProof/>
                <w:webHidden/>
              </w:rPr>
            </w:r>
            <w:r>
              <w:rPr>
                <w:noProof/>
                <w:webHidden/>
              </w:rPr>
              <w:fldChar w:fldCharType="separate"/>
            </w:r>
            <w:r>
              <w:rPr>
                <w:noProof/>
                <w:webHidden/>
              </w:rPr>
              <w:t>1</w:t>
            </w:r>
            <w:r>
              <w:rPr>
                <w:noProof/>
                <w:webHidden/>
              </w:rPr>
              <w:fldChar w:fldCharType="end"/>
            </w:r>
          </w:hyperlink>
        </w:p>
        <w:p w:rsidR="000F6E8E" w:rsidRDefault="000F6E8E">
          <w:pPr>
            <w:pStyle w:val="Indholdsfortegnelse2"/>
            <w:tabs>
              <w:tab w:val="right" w:leader="dot" w:pos="9628"/>
            </w:tabs>
            <w:rPr>
              <w:noProof/>
            </w:rPr>
          </w:pPr>
          <w:hyperlink w:anchor="_Toc21372340" w:history="1">
            <w:r w:rsidRPr="00BB5D7E">
              <w:rPr>
                <w:rStyle w:val="Hyperlink"/>
                <w:noProof/>
              </w:rPr>
              <w:t>LED type and characteristics</w:t>
            </w:r>
            <w:r>
              <w:rPr>
                <w:noProof/>
                <w:webHidden/>
              </w:rPr>
              <w:tab/>
            </w:r>
            <w:r>
              <w:rPr>
                <w:noProof/>
                <w:webHidden/>
              </w:rPr>
              <w:fldChar w:fldCharType="begin"/>
            </w:r>
            <w:r>
              <w:rPr>
                <w:noProof/>
                <w:webHidden/>
              </w:rPr>
              <w:instrText xml:space="preserve"> PAGEREF _Toc21372340 \h </w:instrText>
            </w:r>
            <w:r>
              <w:rPr>
                <w:noProof/>
                <w:webHidden/>
              </w:rPr>
            </w:r>
            <w:r>
              <w:rPr>
                <w:noProof/>
                <w:webHidden/>
              </w:rPr>
              <w:fldChar w:fldCharType="separate"/>
            </w:r>
            <w:r>
              <w:rPr>
                <w:noProof/>
                <w:webHidden/>
              </w:rPr>
              <w:t>1</w:t>
            </w:r>
            <w:r>
              <w:rPr>
                <w:noProof/>
                <w:webHidden/>
              </w:rPr>
              <w:fldChar w:fldCharType="end"/>
            </w:r>
          </w:hyperlink>
        </w:p>
        <w:p w:rsidR="000F6E8E" w:rsidRDefault="000F6E8E">
          <w:pPr>
            <w:pStyle w:val="Indholdsfortegnelse2"/>
            <w:tabs>
              <w:tab w:val="right" w:leader="dot" w:pos="9628"/>
            </w:tabs>
            <w:rPr>
              <w:noProof/>
            </w:rPr>
          </w:pPr>
          <w:hyperlink w:anchor="_Toc21372341" w:history="1">
            <w:r w:rsidRPr="00BB5D7E">
              <w:rPr>
                <w:rStyle w:val="Hyperlink"/>
                <w:noProof/>
              </w:rPr>
              <w:t>Driver/PCB board</w:t>
            </w:r>
            <w:r>
              <w:rPr>
                <w:noProof/>
                <w:webHidden/>
              </w:rPr>
              <w:tab/>
            </w:r>
            <w:r>
              <w:rPr>
                <w:noProof/>
                <w:webHidden/>
              </w:rPr>
              <w:fldChar w:fldCharType="begin"/>
            </w:r>
            <w:r>
              <w:rPr>
                <w:noProof/>
                <w:webHidden/>
              </w:rPr>
              <w:instrText xml:space="preserve"> PAGEREF _Toc21372341 \h </w:instrText>
            </w:r>
            <w:r>
              <w:rPr>
                <w:noProof/>
                <w:webHidden/>
              </w:rPr>
            </w:r>
            <w:r>
              <w:rPr>
                <w:noProof/>
                <w:webHidden/>
              </w:rPr>
              <w:fldChar w:fldCharType="separate"/>
            </w:r>
            <w:r>
              <w:rPr>
                <w:noProof/>
                <w:webHidden/>
              </w:rPr>
              <w:t>2</w:t>
            </w:r>
            <w:r>
              <w:rPr>
                <w:noProof/>
                <w:webHidden/>
              </w:rPr>
              <w:fldChar w:fldCharType="end"/>
            </w:r>
          </w:hyperlink>
        </w:p>
        <w:p w:rsidR="000F6E8E" w:rsidRDefault="000F6E8E">
          <w:pPr>
            <w:pStyle w:val="Indholdsfortegnelse2"/>
            <w:tabs>
              <w:tab w:val="right" w:leader="dot" w:pos="9628"/>
            </w:tabs>
            <w:rPr>
              <w:noProof/>
            </w:rPr>
          </w:pPr>
          <w:hyperlink w:anchor="_Toc21372342" w:history="1">
            <w:r w:rsidRPr="00BB5D7E">
              <w:rPr>
                <w:rStyle w:val="Hyperlink"/>
                <w:noProof/>
              </w:rPr>
              <w:t>Life Cycle phases of the solar LED street light.</w:t>
            </w:r>
            <w:r>
              <w:rPr>
                <w:noProof/>
                <w:webHidden/>
              </w:rPr>
              <w:tab/>
            </w:r>
            <w:r>
              <w:rPr>
                <w:noProof/>
                <w:webHidden/>
              </w:rPr>
              <w:fldChar w:fldCharType="begin"/>
            </w:r>
            <w:r>
              <w:rPr>
                <w:noProof/>
                <w:webHidden/>
              </w:rPr>
              <w:instrText xml:space="preserve"> PAGEREF _Toc21372342 \h </w:instrText>
            </w:r>
            <w:r>
              <w:rPr>
                <w:noProof/>
                <w:webHidden/>
              </w:rPr>
            </w:r>
            <w:r>
              <w:rPr>
                <w:noProof/>
                <w:webHidden/>
              </w:rPr>
              <w:fldChar w:fldCharType="separate"/>
            </w:r>
            <w:r>
              <w:rPr>
                <w:noProof/>
                <w:webHidden/>
              </w:rPr>
              <w:t>2</w:t>
            </w:r>
            <w:r>
              <w:rPr>
                <w:noProof/>
                <w:webHidden/>
              </w:rPr>
              <w:fldChar w:fldCharType="end"/>
            </w:r>
          </w:hyperlink>
        </w:p>
        <w:p w:rsidR="000F6E8E" w:rsidRDefault="000F6E8E">
          <w:pPr>
            <w:pStyle w:val="Indholdsfortegnelse2"/>
            <w:tabs>
              <w:tab w:val="right" w:leader="dot" w:pos="9628"/>
            </w:tabs>
            <w:rPr>
              <w:noProof/>
            </w:rPr>
          </w:pPr>
          <w:hyperlink w:anchor="_Toc21372343" w:history="1">
            <w:r w:rsidRPr="00BB5D7E">
              <w:rPr>
                <w:rStyle w:val="Hyperlink"/>
                <w:noProof/>
              </w:rPr>
              <w:t>Geographic boundaries  and disposal scenario.</w:t>
            </w:r>
            <w:r>
              <w:rPr>
                <w:noProof/>
                <w:webHidden/>
              </w:rPr>
              <w:tab/>
            </w:r>
            <w:r>
              <w:rPr>
                <w:noProof/>
                <w:webHidden/>
              </w:rPr>
              <w:fldChar w:fldCharType="begin"/>
            </w:r>
            <w:r>
              <w:rPr>
                <w:noProof/>
                <w:webHidden/>
              </w:rPr>
              <w:instrText xml:space="preserve"> PAGEREF _Toc21372343 \h </w:instrText>
            </w:r>
            <w:r>
              <w:rPr>
                <w:noProof/>
                <w:webHidden/>
              </w:rPr>
            </w:r>
            <w:r>
              <w:rPr>
                <w:noProof/>
                <w:webHidden/>
              </w:rPr>
              <w:fldChar w:fldCharType="separate"/>
            </w:r>
            <w:r>
              <w:rPr>
                <w:noProof/>
                <w:webHidden/>
              </w:rPr>
              <w:t>4</w:t>
            </w:r>
            <w:r>
              <w:rPr>
                <w:noProof/>
                <w:webHidden/>
              </w:rPr>
              <w:fldChar w:fldCharType="end"/>
            </w:r>
          </w:hyperlink>
        </w:p>
        <w:p w:rsidR="000F6E8E" w:rsidRDefault="000F6E8E">
          <w:pPr>
            <w:pStyle w:val="Indholdsfortegnelse2"/>
            <w:tabs>
              <w:tab w:val="right" w:leader="dot" w:pos="9628"/>
            </w:tabs>
            <w:rPr>
              <w:noProof/>
            </w:rPr>
          </w:pPr>
          <w:hyperlink w:anchor="_Toc21372344" w:history="1">
            <w:r w:rsidRPr="00BB5D7E">
              <w:rPr>
                <w:rStyle w:val="Hyperlink"/>
                <w:noProof/>
              </w:rPr>
              <w:t>Delimitations and approach to data gathering.</w:t>
            </w:r>
            <w:r>
              <w:rPr>
                <w:noProof/>
                <w:webHidden/>
              </w:rPr>
              <w:tab/>
            </w:r>
            <w:r>
              <w:rPr>
                <w:noProof/>
                <w:webHidden/>
              </w:rPr>
              <w:fldChar w:fldCharType="begin"/>
            </w:r>
            <w:r>
              <w:rPr>
                <w:noProof/>
                <w:webHidden/>
              </w:rPr>
              <w:instrText xml:space="preserve"> PAGEREF _Toc21372344 \h </w:instrText>
            </w:r>
            <w:r>
              <w:rPr>
                <w:noProof/>
                <w:webHidden/>
              </w:rPr>
            </w:r>
            <w:r>
              <w:rPr>
                <w:noProof/>
                <w:webHidden/>
              </w:rPr>
              <w:fldChar w:fldCharType="separate"/>
            </w:r>
            <w:r>
              <w:rPr>
                <w:noProof/>
                <w:webHidden/>
              </w:rPr>
              <w:t>4</w:t>
            </w:r>
            <w:r>
              <w:rPr>
                <w:noProof/>
                <w:webHidden/>
              </w:rPr>
              <w:fldChar w:fldCharType="end"/>
            </w:r>
          </w:hyperlink>
        </w:p>
        <w:p w:rsidR="000F6E8E" w:rsidRDefault="000F6E8E">
          <w:pPr>
            <w:pStyle w:val="Indholdsfortegnelse2"/>
            <w:tabs>
              <w:tab w:val="right" w:leader="dot" w:pos="9628"/>
            </w:tabs>
            <w:rPr>
              <w:noProof/>
            </w:rPr>
          </w:pPr>
          <w:hyperlink w:anchor="_Toc21372345" w:history="1">
            <w:r w:rsidRPr="00BB5D7E">
              <w:rPr>
                <w:rStyle w:val="Hyperlink"/>
                <w:noProof/>
              </w:rPr>
              <w:t>References:</w:t>
            </w:r>
            <w:r>
              <w:rPr>
                <w:noProof/>
                <w:webHidden/>
              </w:rPr>
              <w:tab/>
            </w:r>
            <w:r>
              <w:rPr>
                <w:noProof/>
                <w:webHidden/>
              </w:rPr>
              <w:fldChar w:fldCharType="begin"/>
            </w:r>
            <w:r>
              <w:rPr>
                <w:noProof/>
                <w:webHidden/>
              </w:rPr>
              <w:instrText xml:space="preserve"> PAGEREF _Toc21372345 \h </w:instrText>
            </w:r>
            <w:r>
              <w:rPr>
                <w:noProof/>
                <w:webHidden/>
              </w:rPr>
            </w:r>
            <w:r>
              <w:rPr>
                <w:noProof/>
                <w:webHidden/>
              </w:rPr>
              <w:fldChar w:fldCharType="separate"/>
            </w:r>
            <w:r>
              <w:rPr>
                <w:noProof/>
                <w:webHidden/>
              </w:rPr>
              <w:t>5</w:t>
            </w:r>
            <w:r>
              <w:rPr>
                <w:noProof/>
                <w:webHidden/>
              </w:rPr>
              <w:fldChar w:fldCharType="end"/>
            </w:r>
          </w:hyperlink>
        </w:p>
        <w:p w:rsidR="000F6E8E" w:rsidRPr="000F6E8E" w:rsidRDefault="000F6E8E">
          <w:pPr>
            <w:rPr>
              <w:lang w:val="da-DK"/>
            </w:rPr>
          </w:pPr>
          <w:r>
            <w:rPr>
              <w:b/>
              <w:bCs/>
            </w:rPr>
            <w:fldChar w:fldCharType="end"/>
          </w:r>
        </w:p>
      </w:sdtContent>
    </w:sdt>
    <w:p w:rsidR="000F6E8E" w:rsidRPr="000F6E8E" w:rsidRDefault="000F6E8E">
      <w:pPr>
        <w:pStyle w:val="Standard"/>
        <w:spacing w:after="240" w:line="300" w:lineRule="atLeast"/>
        <w:rPr>
          <w:rFonts w:ascii="Times" w:eastAsia="Times" w:hAnsi="Times" w:cs="Times"/>
          <w:b/>
          <w:bCs/>
          <w:sz w:val="27"/>
          <w:szCs w:val="27"/>
        </w:rPr>
      </w:pPr>
    </w:p>
    <w:p w:rsidR="001C6550" w:rsidRDefault="001C6550">
      <w:pPr>
        <w:pStyle w:val="Standard"/>
        <w:spacing w:after="240" w:line="300" w:lineRule="atLeast"/>
        <w:rPr>
          <w:rFonts w:ascii="Times" w:eastAsia="Times" w:hAnsi="Times" w:cs="Times"/>
          <w:b/>
          <w:bCs/>
          <w:sz w:val="27"/>
          <w:szCs w:val="27"/>
          <w:lang w:val="en-US"/>
        </w:rPr>
      </w:pPr>
    </w:p>
    <w:p w:rsidR="001C6550" w:rsidRDefault="001C6550">
      <w:pPr>
        <w:pStyle w:val="Standard"/>
        <w:spacing w:after="240" w:line="300" w:lineRule="atLeast"/>
        <w:rPr>
          <w:rFonts w:ascii="Times" w:eastAsia="Times" w:hAnsi="Times" w:cs="Times"/>
          <w:b/>
          <w:bCs/>
          <w:sz w:val="27"/>
          <w:szCs w:val="27"/>
          <w:lang w:val="en-US"/>
        </w:rPr>
      </w:pPr>
    </w:p>
    <w:p w:rsidR="001C6550" w:rsidRDefault="001C6550">
      <w:pPr>
        <w:pStyle w:val="Standard"/>
        <w:spacing w:after="240" w:line="300" w:lineRule="atLeast"/>
        <w:rPr>
          <w:rFonts w:ascii="Times" w:eastAsia="Times" w:hAnsi="Times" w:cs="Times"/>
          <w:b/>
          <w:bCs/>
          <w:sz w:val="27"/>
          <w:szCs w:val="27"/>
          <w:lang w:val="en-US"/>
        </w:rPr>
      </w:pPr>
    </w:p>
    <w:p w:rsidR="001C6550" w:rsidRDefault="000F6E8E" w:rsidP="000F6E8E">
      <w:pPr>
        <w:pStyle w:val="Overskrift1"/>
        <w:rPr>
          <w:rFonts w:eastAsia="Times"/>
        </w:rPr>
      </w:pPr>
      <w:bookmarkStart w:id="1" w:name="_Toc21372339"/>
      <w:r>
        <w:rPr>
          <w:rFonts w:eastAsia="Times"/>
        </w:rPr>
        <w:t>Components</w:t>
      </w:r>
      <w:bookmarkEnd w:id="1"/>
      <w:r>
        <w:rPr>
          <w:rFonts w:eastAsia="Times"/>
        </w:rPr>
        <w:t xml:space="preserve"> </w:t>
      </w:r>
    </w:p>
    <w:p w:rsidR="001C6550" w:rsidRPr="000F6E8E" w:rsidRDefault="00E82BBF">
      <w:pPr>
        <w:pStyle w:val="Standard"/>
        <w:spacing w:after="240" w:line="300" w:lineRule="atLeast"/>
        <w:jc w:val="both"/>
        <w:rPr>
          <w:rFonts w:ascii="Times" w:eastAsia="Times" w:hAnsi="Times" w:cs="Times"/>
          <w:sz w:val="25"/>
          <w:szCs w:val="25"/>
          <w:u w:val="single"/>
          <w:lang w:val="en-US"/>
        </w:rPr>
      </w:pPr>
      <w:proofErr w:type="spellStart"/>
      <w:r w:rsidRPr="000F6E8E">
        <w:rPr>
          <w:rFonts w:ascii="Times" w:hAnsi="Times"/>
          <w:sz w:val="25"/>
          <w:szCs w:val="25"/>
          <w:lang w:val="en-US"/>
        </w:rPr>
        <w:t>AsimaSun</w:t>
      </w:r>
      <w:proofErr w:type="spellEnd"/>
      <w:r w:rsidRPr="000F6E8E">
        <w:rPr>
          <w:rFonts w:ascii="Times" w:hAnsi="Times"/>
          <w:sz w:val="25"/>
          <w:szCs w:val="25"/>
          <w:lang w:val="en-US"/>
        </w:rPr>
        <w:t>, t</w:t>
      </w:r>
      <w:r>
        <w:rPr>
          <w:rFonts w:ascii="Times" w:hAnsi="Times"/>
          <w:sz w:val="25"/>
          <w:szCs w:val="25"/>
          <w:lang w:val="en-US"/>
        </w:rPr>
        <w:t xml:space="preserve">he stand alone </w:t>
      </w:r>
      <w:r w:rsidRPr="000F6E8E">
        <w:rPr>
          <w:rFonts w:ascii="Times" w:hAnsi="Times"/>
          <w:sz w:val="25"/>
          <w:szCs w:val="25"/>
          <w:lang w:val="en-US"/>
        </w:rPr>
        <w:t xml:space="preserve">solar driven street light </w:t>
      </w:r>
      <w:r>
        <w:rPr>
          <w:rFonts w:ascii="Times" w:hAnsi="Times"/>
          <w:sz w:val="25"/>
          <w:szCs w:val="25"/>
          <w:lang w:val="en-US"/>
        </w:rPr>
        <w:t>system is completely based on the plug and play principle</w:t>
      </w:r>
      <w:r w:rsidRPr="000F6E8E">
        <w:rPr>
          <w:rFonts w:ascii="Times" w:hAnsi="Times"/>
          <w:sz w:val="25"/>
          <w:szCs w:val="25"/>
          <w:lang w:val="en-US"/>
        </w:rPr>
        <w:t xml:space="preserve"> [6. It consists of the following parts: PV panel, lightning fixture with 16 LEDs, an </w:t>
      </w:r>
      <w:proofErr w:type="spellStart"/>
      <w:r w:rsidRPr="000F6E8E">
        <w:rPr>
          <w:rFonts w:ascii="Times" w:hAnsi="Times"/>
          <w:sz w:val="25"/>
          <w:szCs w:val="25"/>
          <w:lang w:val="en-US"/>
        </w:rPr>
        <w:t>aluminium</w:t>
      </w:r>
      <w:proofErr w:type="spellEnd"/>
      <w:r w:rsidRPr="000F6E8E">
        <w:rPr>
          <w:rFonts w:ascii="Times" w:hAnsi="Times"/>
          <w:sz w:val="25"/>
          <w:szCs w:val="25"/>
          <w:lang w:val="en-US"/>
        </w:rPr>
        <w:t xml:space="preserve"> pole, a rechargeable battery, a PCB board with control system (dimmers and controller) and the copper cables [5]. The luminaire</w:t>
      </w:r>
      <w:r w:rsidRPr="000F6E8E">
        <w:rPr>
          <w:rFonts w:ascii="Times" w:hAnsi="Times"/>
          <w:sz w:val="25"/>
          <w:szCs w:val="25"/>
          <w:lang w:val="en-US"/>
        </w:rPr>
        <w:t>´</w:t>
      </w:r>
      <w:r w:rsidRPr="000F6E8E">
        <w:rPr>
          <w:rFonts w:ascii="Times" w:hAnsi="Times"/>
          <w:sz w:val="25"/>
          <w:szCs w:val="25"/>
          <w:lang w:val="en-US"/>
        </w:rPr>
        <w:t>s weight is assumed to be around</w:t>
      </w:r>
      <w:r w:rsidRPr="000F6E8E">
        <w:rPr>
          <w:rFonts w:ascii="Times" w:hAnsi="Times"/>
          <w:sz w:val="25"/>
          <w:szCs w:val="25"/>
          <w:lang w:val="en-US"/>
        </w:rPr>
        <w:t xml:space="preserve"> 8,4 kg [6]. And the entire system - weight is assumed to be around 110 kg [5]. </w:t>
      </w:r>
    </w:p>
    <w:p w:rsidR="001C6550" w:rsidRPr="000F6E8E" w:rsidRDefault="00E82BBF" w:rsidP="000F6E8E">
      <w:pPr>
        <w:pStyle w:val="Overskrift2"/>
        <w:rPr>
          <w:rFonts w:eastAsia="Times" w:cs="Times"/>
        </w:rPr>
      </w:pPr>
      <w:bookmarkStart w:id="2" w:name="_Toc21372340"/>
      <w:r w:rsidRPr="000F6E8E">
        <w:t>LED type and characteristics</w:t>
      </w:r>
      <w:bookmarkEnd w:id="2"/>
    </w:p>
    <w:p w:rsidR="001C6550" w:rsidRPr="000F6E8E" w:rsidRDefault="00E82BBF">
      <w:pPr>
        <w:pStyle w:val="Standard"/>
        <w:spacing w:after="240" w:line="288" w:lineRule="auto"/>
        <w:jc w:val="both"/>
        <w:rPr>
          <w:rFonts w:ascii="Times" w:eastAsia="Times" w:hAnsi="Times" w:cs="Times"/>
          <w:sz w:val="25"/>
          <w:szCs w:val="25"/>
          <w:lang w:val="en-US"/>
        </w:rPr>
      </w:pPr>
      <w:r w:rsidRPr="000F6E8E">
        <w:rPr>
          <w:rFonts w:ascii="Times" w:hAnsi="Times"/>
          <w:sz w:val="25"/>
          <w:szCs w:val="25"/>
          <w:lang w:val="en-US"/>
        </w:rPr>
        <w:t xml:space="preserve">The street lamp is equipped with 16 LEDS module type- XPGBWT-B1-CACE-A0KE5, manufactured by Cree Inc. (figure 1). </w:t>
      </w:r>
      <w:r w:rsidRPr="000F6E8E">
        <w:rPr>
          <w:rFonts w:ascii="Times" w:hAnsi="Times"/>
          <w:sz w:val="25"/>
          <w:szCs w:val="25"/>
          <w:lang w:val="en-US"/>
        </w:rPr>
        <w:t>Footprint</w:t>
      </w:r>
      <w:r w:rsidRPr="000F6E8E">
        <w:rPr>
          <w:rFonts w:ascii="Times" w:hAnsi="Times"/>
          <w:sz w:val="25"/>
          <w:szCs w:val="25"/>
          <w:lang w:val="en-US"/>
        </w:rPr>
        <w:t xml:space="preserve"> (size) of each LED</w:t>
      </w:r>
      <w:r w:rsidRPr="000F6E8E">
        <w:rPr>
          <w:rFonts w:ascii="Times" w:hAnsi="Times"/>
          <w:sz w:val="25"/>
          <w:szCs w:val="25"/>
          <w:lang w:val="en-US"/>
        </w:rPr>
        <w:t>- 3.</w:t>
      </w:r>
      <w:r w:rsidRPr="000F6E8E">
        <w:rPr>
          <w:rFonts w:ascii="Times" w:hAnsi="Times"/>
          <w:sz w:val="25"/>
          <w:szCs w:val="25"/>
          <w:lang w:val="en-US"/>
        </w:rPr>
        <w:t>5 mm.</w:t>
      </w:r>
      <w:r w:rsidRPr="000F6E8E">
        <w:rPr>
          <w:rFonts w:ascii="Times" w:hAnsi="Times"/>
          <w:sz w:val="25"/>
          <w:szCs w:val="25"/>
          <w:lang w:val="en-US"/>
        </w:rPr>
        <w:t xml:space="preserve"> It is stated in the manufacturers data sheet that this type of LEDs has operational life min 100.000 hours at a max 25</w:t>
      </w:r>
      <w:r w:rsidRPr="000F6E8E">
        <w:rPr>
          <w:rFonts w:ascii="Times" w:hAnsi="Times"/>
          <w:sz w:val="25"/>
          <w:szCs w:val="25"/>
          <w:lang w:val="en-US"/>
        </w:rPr>
        <w:t xml:space="preserve">° </w:t>
      </w:r>
      <w:r w:rsidRPr="000F6E8E">
        <w:rPr>
          <w:rFonts w:ascii="Times" w:hAnsi="Times"/>
          <w:sz w:val="25"/>
          <w:szCs w:val="25"/>
          <w:lang w:val="en-US"/>
        </w:rPr>
        <w:t>C, L80 B10 [2].</w:t>
      </w:r>
    </w:p>
    <w:p w:rsidR="001C6550" w:rsidRPr="000F6E8E" w:rsidRDefault="00E82BBF">
      <w:pPr>
        <w:pStyle w:val="Standard"/>
        <w:spacing w:after="240" w:line="288" w:lineRule="auto"/>
        <w:jc w:val="both"/>
        <w:rPr>
          <w:rFonts w:ascii="Times" w:eastAsia="Times" w:hAnsi="Times" w:cs="Times"/>
          <w:sz w:val="25"/>
          <w:szCs w:val="25"/>
          <w:lang w:val="en-US"/>
        </w:rPr>
      </w:pPr>
      <w:r w:rsidRPr="000F6E8E">
        <w:rPr>
          <w:rFonts w:ascii="Times" w:hAnsi="Times"/>
          <w:sz w:val="25"/>
          <w:szCs w:val="25"/>
          <w:lang w:val="en-US"/>
        </w:rPr>
        <w:t>The measure of life-time of a LED is related to the luminous flux depreciation at a given ambient temperature. L70</w:t>
      </w:r>
      <w:r w:rsidRPr="000F6E8E">
        <w:rPr>
          <w:rFonts w:ascii="Times" w:hAnsi="Times"/>
          <w:sz w:val="25"/>
          <w:szCs w:val="25"/>
          <w:lang w:val="en-US"/>
        </w:rPr>
        <w:t>, L80 or L90 indicates how many lumens (in percentage related to the initial lumens) remains after end-of-life. The L-value may be explained B- and C-values [3].</w:t>
      </w:r>
      <w:r w:rsidRPr="000F6E8E">
        <w:rPr>
          <w:rFonts w:ascii="Times" w:hAnsi="Times"/>
          <w:sz w:val="25"/>
          <w:szCs w:val="25"/>
          <w:lang w:val="en-US"/>
        </w:rPr>
        <w:t> “</w:t>
      </w:r>
      <w:r w:rsidRPr="000F6E8E">
        <w:rPr>
          <w:rFonts w:ascii="Times" w:hAnsi="Times"/>
          <w:sz w:val="25"/>
          <w:szCs w:val="25"/>
          <w:lang w:val="en-US"/>
        </w:rPr>
        <w:t xml:space="preserve">The failure </w:t>
      </w:r>
      <w:proofErr w:type="gramStart"/>
      <w:r w:rsidRPr="000F6E8E">
        <w:rPr>
          <w:rFonts w:ascii="Times" w:hAnsi="Times"/>
          <w:sz w:val="25"/>
          <w:szCs w:val="25"/>
          <w:lang w:val="en-US"/>
        </w:rPr>
        <w:t>factor</w:t>
      </w:r>
      <w:proofErr w:type="gramEnd"/>
      <w:r w:rsidRPr="000F6E8E">
        <w:rPr>
          <w:rFonts w:ascii="Times" w:hAnsi="Times"/>
          <w:sz w:val="25"/>
          <w:szCs w:val="25"/>
          <w:lang w:val="en-US"/>
        </w:rPr>
        <w:t xml:space="preserve"> for B</w:t>
      </w:r>
      <w:r w:rsidRPr="000F6E8E">
        <w:rPr>
          <w:rFonts w:ascii="Times" w:hAnsi="Times"/>
          <w:sz w:val="25"/>
          <w:szCs w:val="25"/>
          <w:vertAlign w:val="subscript"/>
          <w:lang w:val="en-US"/>
        </w:rPr>
        <w:t xml:space="preserve">y </w:t>
      </w:r>
      <w:r w:rsidRPr="000F6E8E">
        <w:rPr>
          <w:rFonts w:ascii="Times" w:hAnsi="Times"/>
          <w:sz w:val="25"/>
          <w:szCs w:val="25"/>
          <w:lang w:val="en-US"/>
        </w:rPr>
        <w:t>expresses only the gradual light output degradation as a percentage</w:t>
      </w:r>
      <w:r w:rsidRPr="000F6E8E">
        <w:rPr>
          <w:rFonts w:ascii="Times" w:hAnsi="Times"/>
          <w:sz w:val="25"/>
          <w:szCs w:val="25"/>
          <w:lang w:val="en-US"/>
        </w:rPr>
        <w:t xml:space="preserve"> </w:t>
      </w:r>
      <w:r w:rsidRPr="000F6E8E">
        <w:rPr>
          <w:rFonts w:ascii="Times" w:hAnsi="Times"/>
          <w:sz w:val="25"/>
          <w:szCs w:val="25"/>
          <w:lang w:val="en-US"/>
        </w:rPr>
        <w:t>“</w:t>
      </w:r>
      <w:r w:rsidRPr="000F6E8E">
        <w:rPr>
          <w:rFonts w:ascii="Times" w:hAnsi="Times"/>
          <w:sz w:val="25"/>
          <w:szCs w:val="25"/>
          <w:lang w:val="en-US"/>
        </w:rPr>
        <w:t>y</w:t>
      </w:r>
      <w:r w:rsidRPr="000F6E8E">
        <w:rPr>
          <w:rFonts w:ascii="Times" w:hAnsi="Times"/>
          <w:sz w:val="25"/>
          <w:szCs w:val="25"/>
          <w:lang w:val="en-US"/>
        </w:rPr>
        <w:t xml:space="preserve">” </w:t>
      </w:r>
      <w:r w:rsidRPr="000F6E8E">
        <w:rPr>
          <w:rFonts w:ascii="Times" w:hAnsi="Times"/>
          <w:sz w:val="25"/>
          <w:szCs w:val="25"/>
          <w:lang w:val="en-US"/>
        </w:rPr>
        <w:t xml:space="preserve">of a number of LED modules of the same type that at their rated life designates the percentage (fraction) of failures. The value B10 means that minimum 90 % of the LED modules will meet the declared L-value and only 10% will have a lower flux </w:t>
      </w:r>
      <w:proofErr w:type="gramStart"/>
      <w:r w:rsidRPr="000F6E8E">
        <w:rPr>
          <w:rFonts w:ascii="Times" w:hAnsi="Times"/>
          <w:sz w:val="25"/>
          <w:szCs w:val="25"/>
          <w:lang w:val="en-US"/>
        </w:rPr>
        <w:t>level</w:t>
      </w:r>
      <w:r w:rsidRPr="000F6E8E">
        <w:rPr>
          <w:rFonts w:ascii="Times" w:hAnsi="Times"/>
          <w:sz w:val="25"/>
          <w:szCs w:val="25"/>
          <w:lang w:val="en-US"/>
        </w:rPr>
        <w:t>”</w:t>
      </w:r>
      <w:r w:rsidRPr="000F6E8E">
        <w:rPr>
          <w:rFonts w:ascii="Times" w:hAnsi="Times"/>
          <w:sz w:val="25"/>
          <w:szCs w:val="25"/>
          <w:lang w:val="en-US"/>
        </w:rPr>
        <w:t>[</w:t>
      </w:r>
      <w:proofErr w:type="gramEnd"/>
      <w:r w:rsidRPr="000F6E8E">
        <w:rPr>
          <w:rFonts w:ascii="Times" w:hAnsi="Times"/>
          <w:sz w:val="25"/>
          <w:szCs w:val="25"/>
          <w:lang w:val="en-US"/>
        </w:rPr>
        <w:t>2</w:t>
      </w:r>
      <w:r w:rsidRPr="000F6E8E">
        <w:rPr>
          <w:rFonts w:ascii="Times" w:hAnsi="Times"/>
          <w:sz w:val="25"/>
          <w:szCs w:val="25"/>
          <w:lang w:val="en-US"/>
        </w:rPr>
        <w:t>],[3].</w:t>
      </w:r>
    </w:p>
    <w:p w:rsidR="001C6550" w:rsidRPr="000F6E8E" w:rsidRDefault="00E82BBF">
      <w:pPr>
        <w:pStyle w:val="Standard"/>
        <w:spacing w:after="240" w:line="288" w:lineRule="auto"/>
        <w:rPr>
          <w:rFonts w:ascii="Times" w:eastAsia="Times" w:hAnsi="Times" w:cs="Times"/>
          <w:sz w:val="24"/>
          <w:szCs w:val="24"/>
          <w:lang w:val="en-US"/>
        </w:rPr>
      </w:pPr>
      <w:r w:rsidRPr="000F6E8E">
        <w:rPr>
          <w:rFonts w:ascii="Times" w:hAnsi="Times"/>
          <w:sz w:val="24"/>
          <w:szCs w:val="24"/>
          <w:lang w:val="en-US"/>
        </w:rPr>
        <w:lastRenderedPageBreak/>
        <w:t xml:space="preserve">Other </w:t>
      </w:r>
      <w:r>
        <w:rPr>
          <w:rFonts w:ascii="Times" w:hAnsi="Times"/>
          <w:sz w:val="25"/>
          <w:szCs w:val="25"/>
          <w:lang w:val="en-US"/>
        </w:rPr>
        <w:t xml:space="preserve">LED Components: LED array, </w:t>
      </w:r>
      <w:proofErr w:type="spellStart"/>
      <w:r>
        <w:rPr>
          <w:rFonts w:ascii="Times" w:hAnsi="Times"/>
          <w:sz w:val="25"/>
          <w:szCs w:val="25"/>
          <w:lang w:val="en-US"/>
        </w:rPr>
        <w:t>aluminium</w:t>
      </w:r>
      <w:proofErr w:type="spellEnd"/>
      <w:r>
        <w:rPr>
          <w:rFonts w:ascii="Times" w:hAnsi="Times"/>
          <w:sz w:val="25"/>
          <w:szCs w:val="25"/>
          <w:lang w:val="en-US"/>
        </w:rPr>
        <w:t xml:space="preserve"> parts, </w:t>
      </w:r>
      <w:r w:rsidRPr="000F6E8E">
        <w:rPr>
          <w:rFonts w:ascii="Times" w:hAnsi="Times"/>
          <w:sz w:val="25"/>
          <w:szCs w:val="25"/>
          <w:lang w:val="en-US"/>
        </w:rPr>
        <w:t xml:space="preserve">remote </w:t>
      </w:r>
      <w:r>
        <w:rPr>
          <w:rFonts w:ascii="Times" w:hAnsi="Times"/>
          <w:sz w:val="25"/>
          <w:szCs w:val="25"/>
          <w:lang w:val="en-US"/>
        </w:rPr>
        <w:t>phosphor cover, LED board connectors</w:t>
      </w:r>
      <w:r w:rsidRPr="000F6E8E">
        <w:rPr>
          <w:rFonts w:ascii="Times" w:hAnsi="Times"/>
          <w:sz w:val="25"/>
          <w:szCs w:val="25"/>
          <w:lang w:val="en-US"/>
        </w:rPr>
        <w:t xml:space="preserve">, lens, packaging [1], [7]. </w:t>
      </w:r>
      <w:r>
        <w:rPr>
          <w:rFonts w:ascii="Times" w:eastAsia="Times" w:hAnsi="Times" w:cs="Times"/>
          <w:noProof/>
          <w:sz w:val="24"/>
          <w:szCs w:val="24"/>
        </w:rPr>
        <w:drawing>
          <wp:anchor distT="152400" distB="152400" distL="152400" distR="152400" simplePos="0" relativeHeight="251659264" behindDoc="0" locked="0" layoutInCell="1" allowOverlap="1">
            <wp:simplePos x="0" y="0"/>
            <wp:positionH relativeFrom="margin">
              <wp:posOffset>-294216</wp:posOffset>
            </wp:positionH>
            <wp:positionV relativeFrom="line">
              <wp:posOffset>302061</wp:posOffset>
            </wp:positionV>
            <wp:extent cx="3172212" cy="239396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kærmbillede 2019-10-06 kl. 13.11.24.png"/>
                    <pic:cNvPicPr>
                      <a:picLocks noChangeAspect="1"/>
                    </pic:cNvPicPr>
                  </pic:nvPicPr>
                  <pic:blipFill>
                    <a:blip r:embed="rId7">
                      <a:extLst/>
                    </a:blip>
                    <a:stretch>
                      <a:fillRect/>
                    </a:stretch>
                  </pic:blipFill>
                  <pic:spPr>
                    <a:xfrm>
                      <a:off x="0" y="0"/>
                      <a:ext cx="3172212" cy="2393963"/>
                    </a:xfrm>
                    <a:prstGeom prst="rect">
                      <a:avLst/>
                    </a:prstGeom>
                    <a:ln w="12700" cap="flat">
                      <a:noFill/>
                      <a:miter lim="400000"/>
                    </a:ln>
                    <a:effectLst/>
                  </pic:spPr>
                </pic:pic>
              </a:graphicData>
            </a:graphic>
          </wp:anchor>
        </w:drawing>
      </w:r>
      <w:r w:rsidRPr="000F6E8E">
        <w:rPr>
          <w:rFonts w:ascii="Times" w:hAnsi="Times"/>
          <w:sz w:val="24"/>
          <w:szCs w:val="24"/>
          <w:lang w:val="en-US"/>
        </w:rPr>
        <w:t xml:space="preserve"> </w:t>
      </w:r>
    </w:p>
    <w:p w:rsidR="001C6550" w:rsidRPr="000F6E8E" w:rsidRDefault="001C6550">
      <w:pPr>
        <w:pStyle w:val="Standard"/>
        <w:spacing w:after="240" w:line="300" w:lineRule="atLeast"/>
        <w:jc w:val="both"/>
        <w:rPr>
          <w:rFonts w:ascii="Times" w:eastAsia="Times" w:hAnsi="Times" w:cs="Times"/>
          <w:sz w:val="24"/>
          <w:szCs w:val="24"/>
          <w:lang w:val="en-US"/>
        </w:rPr>
      </w:pPr>
    </w:p>
    <w:p w:rsidR="001C6550" w:rsidRPr="000F6E8E" w:rsidRDefault="001C6550">
      <w:pPr>
        <w:pStyle w:val="Standard"/>
        <w:spacing w:after="240" w:line="300" w:lineRule="atLeast"/>
        <w:jc w:val="both"/>
        <w:rPr>
          <w:rFonts w:ascii="Times" w:eastAsia="Times" w:hAnsi="Times" w:cs="Times"/>
          <w:sz w:val="24"/>
          <w:szCs w:val="24"/>
          <w:lang w:val="en-US"/>
        </w:rPr>
      </w:pPr>
    </w:p>
    <w:p w:rsidR="001C6550" w:rsidRPr="000F6E8E" w:rsidRDefault="001C6550">
      <w:pPr>
        <w:pStyle w:val="Standard"/>
        <w:spacing w:after="240" w:line="300" w:lineRule="atLeast"/>
        <w:jc w:val="both"/>
        <w:rPr>
          <w:rFonts w:ascii="Times" w:eastAsia="Times" w:hAnsi="Times" w:cs="Times"/>
          <w:sz w:val="24"/>
          <w:szCs w:val="24"/>
          <w:lang w:val="en-US"/>
        </w:rPr>
      </w:pPr>
    </w:p>
    <w:p w:rsidR="001C6550" w:rsidRPr="000F6E8E" w:rsidRDefault="001C6550">
      <w:pPr>
        <w:pStyle w:val="Standard"/>
        <w:spacing w:after="240" w:line="300" w:lineRule="atLeast"/>
        <w:jc w:val="both"/>
        <w:rPr>
          <w:rFonts w:ascii="Times" w:eastAsia="Times" w:hAnsi="Times" w:cs="Times"/>
          <w:sz w:val="24"/>
          <w:szCs w:val="24"/>
          <w:lang w:val="en-US"/>
        </w:rPr>
      </w:pPr>
    </w:p>
    <w:p w:rsidR="001C6550" w:rsidRPr="000F6E8E" w:rsidRDefault="001C6550">
      <w:pPr>
        <w:pStyle w:val="Standard"/>
        <w:spacing w:after="240" w:line="300" w:lineRule="atLeast"/>
        <w:jc w:val="both"/>
        <w:rPr>
          <w:rFonts w:ascii="Times" w:eastAsia="Times" w:hAnsi="Times" w:cs="Times"/>
          <w:sz w:val="24"/>
          <w:szCs w:val="24"/>
          <w:lang w:val="en-US"/>
        </w:rPr>
      </w:pPr>
    </w:p>
    <w:p w:rsidR="001C6550" w:rsidRPr="000F6E8E" w:rsidRDefault="001C6550">
      <w:pPr>
        <w:pStyle w:val="Standard"/>
        <w:spacing w:after="240"/>
        <w:jc w:val="both"/>
        <w:rPr>
          <w:rFonts w:ascii="Times" w:eastAsia="Times" w:hAnsi="Times" w:cs="Times"/>
          <w:sz w:val="24"/>
          <w:szCs w:val="24"/>
          <w:lang w:val="en-US"/>
        </w:rPr>
      </w:pPr>
    </w:p>
    <w:p w:rsidR="001C6550" w:rsidRPr="000F6E8E" w:rsidRDefault="001C6550">
      <w:pPr>
        <w:pStyle w:val="Standard"/>
        <w:spacing w:after="240" w:line="300" w:lineRule="atLeast"/>
        <w:jc w:val="both"/>
        <w:rPr>
          <w:rFonts w:ascii="Times" w:eastAsia="Times" w:hAnsi="Times" w:cs="Times"/>
          <w:sz w:val="20"/>
          <w:szCs w:val="20"/>
          <w:lang w:val="en-US"/>
        </w:rPr>
      </w:pPr>
    </w:p>
    <w:p w:rsidR="001C6550" w:rsidRPr="000F6E8E" w:rsidRDefault="00E82BBF">
      <w:pPr>
        <w:pStyle w:val="Standard"/>
        <w:spacing w:after="240" w:line="300" w:lineRule="atLeast"/>
        <w:jc w:val="both"/>
        <w:rPr>
          <w:rFonts w:ascii="Times" w:eastAsia="Times" w:hAnsi="Times" w:cs="Times"/>
          <w:sz w:val="28"/>
          <w:szCs w:val="28"/>
          <w:lang w:val="en-US"/>
        </w:rPr>
      </w:pPr>
      <w:r w:rsidRPr="000F6E8E">
        <w:rPr>
          <w:rFonts w:ascii="Times" w:hAnsi="Times"/>
          <w:sz w:val="28"/>
          <w:szCs w:val="28"/>
          <w:lang w:val="en-US"/>
        </w:rPr>
        <w:t xml:space="preserve">PV- </w:t>
      </w:r>
      <w:proofErr w:type="spellStart"/>
      <w:r w:rsidRPr="000F6E8E">
        <w:rPr>
          <w:rFonts w:ascii="Times" w:hAnsi="Times"/>
          <w:sz w:val="28"/>
          <w:szCs w:val="28"/>
          <w:lang w:val="en-US"/>
        </w:rPr>
        <w:t>modul</w:t>
      </w:r>
      <w:proofErr w:type="spellEnd"/>
      <w:r w:rsidRPr="000F6E8E">
        <w:rPr>
          <w:rFonts w:ascii="Times" w:hAnsi="Times"/>
          <w:sz w:val="28"/>
          <w:szCs w:val="28"/>
          <w:lang w:val="en-US"/>
        </w:rPr>
        <w:t xml:space="preserve">.   </w:t>
      </w:r>
    </w:p>
    <w:p w:rsidR="001C6550" w:rsidRPr="000F6E8E" w:rsidRDefault="00E82BBF">
      <w:pPr>
        <w:pStyle w:val="Standard"/>
        <w:spacing w:after="240" w:line="280" w:lineRule="atLeast"/>
        <w:jc w:val="both"/>
        <w:rPr>
          <w:rFonts w:ascii="Times" w:eastAsia="Times" w:hAnsi="Times" w:cs="Times"/>
          <w:sz w:val="24"/>
          <w:szCs w:val="24"/>
          <w:lang w:val="en-US"/>
        </w:rPr>
      </w:pPr>
      <w:r w:rsidRPr="000F6E8E">
        <w:rPr>
          <w:rFonts w:ascii="Times" w:hAnsi="Times"/>
          <w:sz w:val="24"/>
          <w:szCs w:val="24"/>
          <w:lang w:val="en-US"/>
        </w:rPr>
        <w:t xml:space="preserve">The lamp has installed the 62Wp panel with 12 </w:t>
      </w:r>
      <w:proofErr w:type="spellStart"/>
      <w:r w:rsidRPr="000F6E8E">
        <w:rPr>
          <w:rFonts w:ascii="Times" w:hAnsi="Times"/>
          <w:sz w:val="24"/>
          <w:szCs w:val="24"/>
          <w:lang w:val="en-US"/>
        </w:rPr>
        <w:t>peaces</w:t>
      </w:r>
      <w:proofErr w:type="spellEnd"/>
      <w:r w:rsidRPr="000F6E8E">
        <w:rPr>
          <w:rFonts w:ascii="Times" w:hAnsi="Times"/>
          <w:sz w:val="24"/>
          <w:szCs w:val="24"/>
          <w:lang w:val="en-US"/>
        </w:rPr>
        <w:t xml:space="preserve"> of mono crystalline solar cells (5,16 Wp each) with antireflection coating that converts the light into energy.  </w:t>
      </w:r>
      <w:r>
        <w:rPr>
          <w:rFonts w:ascii="Times" w:hAnsi="Times"/>
          <w:sz w:val="24"/>
          <w:szCs w:val="24"/>
          <w:lang w:val="en-US"/>
        </w:rPr>
        <w:t xml:space="preserve">The conversion rate of mono-crystalline solar panels </w:t>
      </w:r>
      <w:proofErr w:type="gramStart"/>
      <w:r>
        <w:rPr>
          <w:rFonts w:ascii="Times" w:hAnsi="Times"/>
          <w:sz w:val="24"/>
          <w:szCs w:val="24"/>
          <w:lang w:val="en-US"/>
        </w:rPr>
        <w:t>are</w:t>
      </w:r>
      <w:proofErr w:type="gramEnd"/>
      <w:r>
        <w:rPr>
          <w:rFonts w:ascii="Times" w:hAnsi="Times"/>
          <w:sz w:val="24"/>
          <w:szCs w:val="24"/>
          <w:lang w:val="en-US"/>
        </w:rPr>
        <w:t xml:space="preserve"> much higher than their poly-cryst</w:t>
      </w:r>
      <w:r>
        <w:rPr>
          <w:rFonts w:ascii="Times" w:hAnsi="Times"/>
          <w:sz w:val="24"/>
          <w:szCs w:val="24"/>
          <w:lang w:val="en-US"/>
        </w:rPr>
        <w:t>allin</w:t>
      </w:r>
      <w:r w:rsidRPr="000F6E8E">
        <w:rPr>
          <w:rFonts w:ascii="Times" w:hAnsi="Times"/>
          <w:sz w:val="24"/>
          <w:szCs w:val="24"/>
          <w:lang w:val="en-US"/>
        </w:rPr>
        <w:t>e. The panel has 15 years product warranty.</w:t>
      </w:r>
    </w:p>
    <w:p w:rsidR="001C6550" w:rsidRPr="000F6E8E" w:rsidRDefault="001C6550">
      <w:pPr>
        <w:pStyle w:val="Standard"/>
        <w:spacing w:after="240" w:line="280" w:lineRule="atLeast"/>
        <w:jc w:val="both"/>
        <w:rPr>
          <w:rFonts w:ascii="Times" w:eastAsia="Times" w:hAnsi="Times" w:cs="Times"/>
          <w:sz w:val="24"/>
          <w:szCs w:val="24"/>
          <w:lang w:val="en-US"/>
        </w:rPr>
      </w:pPr>
    </w:p>
    <w:p w:rsidR="001C6550" w:rsidRPr="000F6E8E" w:rsidRDefault="00E82BBF" w:rsidP="000F6E8E">
      <w:pPr>
        <w:pStyle w:val="Overskrift2"/>
        <w:rPr>
          <w:rFonts w:eastAsia="Times" w:cs="Times"/>
        </w:rPr>
      </w:pPr>
      <w:bookmarkStart w:id="3" w:name="_Toc21372341"/>
      <w:r w:rsidRPr="000F6E8E">
        <w:t>Driver/PCB board</w:t>
      </w:r>
      <w:bookmarkEnd w:id="3"/>
      <w:r w:rsidRPr="000F6E8E">
        <w:t xml:space="preserve"> </w:t>
      </w:r>
    </w:p>
    <w:p w:rsidR="001C6550" w:rsidRPr="000F6E8E" w:rsidRDefault="00E82BBF">
      <w:pPr>
        <w:pStyle w:val="Standard"/>
        <w:spacing w:after="240" w:line="300" w:lineRule="atLeast"/>
        <w:jc w:val="both"/>
        <w:rPr>
          <w:rFonts w:ascii="Times" w:eastAsia="Times" w:hAnsi="Times" w:cs="Times"/>
          <w:sz w:val="24"/>
          <w:szCs w:val="24"/>
          <w:lang w:val="en-US"/>
        </w:rPr>
      </w:pPr>
      <w:r w:rsidRPr="000F6E8E">
        <w:rPr>
          <w:rFonts w:ascii="Times" w:hAnsi="Times"/>
          <w:sz w:val="24"/>
          <w:szCs w:val="24"/>
          <w:lang w:val="en-US"/>
        </w:rPr>
        <w:t xml:space="preserve">The </w:t>
      </w:r>
      <w:proofErr w:type="gramStart"/>
      <w:r w:rsidRPr="000F6E8E">
        <w:rPr>
          <w:rFonts w:ascii="Times" w:hAnsi="Times"/>
          <w:sz w:val="24"/>
          <w:szCs w:val="24"/>
          <w:lang w:val="en-US"/>
        </w:rPr>
        <w:t>luminaries</w:t>
      </w:r>
      <w:proofErr w:type="gramEnd"/>
      <w:r w:rsidRPr="000F6E8E">
        <w:rPr>
          <w:rFonts w:ascii="Times" w:hAnsi="Times"/>
          <w:sz w:val="24"/>
          <w:szCs w:val="24"/>
          <w:lang w:val="en-US"/>
        </w:rPr>
        <w:t xml:space="preserve"> drivers expected life time depends on the design itself, the used components and the temperature of these components. The drivers are usually marked with a </w:t>
      </w:r>
      <w:r w:rsidRPr="000F6E8E">
        <w:rPr>
          <w:rFonts w:ascii="Times" w:hAnsi="Times"/>
          <w:sz w:val="24"/>
          <w:szCs w:val="24"/>
          <w:lang w:val="en-US"/>
        </w:rPr>
        <w:t>reference temperature point, which should not be exceeded, T</w:t>
      </w:r>
      <w:r w:rsidRPr="000F6E8E">
        <w:rPr>
          <w:rFonts w:ascii="Times" w:hAnsi="Times"/>
          <w:sz w:val="24"/>
          <w:szCs w:val="24"/>
          <w:vertAlign w:val="subscript"/>
          <w:lang w:val="en-US"/>
        </w:rPr>
        <w:t xml:space="preserve">c. </w:t>
      </w:r>
      <w:r w:rsidRPr="000F6E8E">
        <w:rPr>
          <w:rFonts w:ascii="Times" w:hAnsi="Times"/>
          <w:sz w:val="24"/>
          <w:szCs w:val="24"/>
          <w:lang w:val="en-US"/>
        </w:rPr>
        <w:t>Often the maximum ambient temperature (T</w:t>
      </w:r>
      <w:r w:rsidRPr="000F6E8E">
        <w:rPr>
          <w:rFonts w:ascii="Times" w:hAnsi="Times"/>
          <w:sz w:val="24"/>
          <w:szCs w:val="24"/>
          <w:vertAlign w:val="subscript"/>
          <w:lang w:val="en-US"/>
        </w:rPr>
        <w:t>a</w:t>
      </w:r>
      <w:r w:rsidRPr="000F6E8E">
        <w:rPr>
          <w:rFonts w:ascii="Times" w:hAnsi="Times"/>
          <w:sz w:val="24"/>
          <w:szCs w:val="24"/>
          <w:lang w:val="en-US"/>
        </w:rPr>
        <w:t>) of the luminaire relates to the maximum value on the T</w:t>
      </w:r>
      <w:r w:rsidRPr="000F6E8E">
        <w:rPr>
          <w:rFonts w:ascii="Times" w:hAnsi="Times"/>
          <w:sz w:val="24"/>
          <w:szCs w:val="24"/>
          <w:vertAlign w:val="subscript"/>
          <w:lang w:val="en-US"/>
        </w:rPr>
        <w:t>c</w:t>
      </w:r>
      <w:r w:rsidRPr="000F6E8E">
        <w:rPr>
          <w:rFonts w:ascii="Times" w:hAnsi="Times"/>
          <w:sz w:val="24"/>
          <w:szCs w:val="24"/>
          <w:lang w:val="en-US"/>
        </w:rPr>
        <w:t>-point. At this T</w:t>
      </w:r>
      <w:r w:rsidRPr="000F6E8E">
        <w:rPr>
          <w:rFonts w:ascii="Times" w:hAnsi="Times"/>
          <w:sz w:val="24"/>
          <w:szCs w:val="24"/>
          <w:vertAlign w:val="subscript"/>
          <w:lang w:val="en-US"/>
        </w:rPr>
        <w:t>a</w:t>
      </w:r>
      <w:r w:rsidRPr="000F6E8E">
        <w:rPr>
          <w:rFonts w:ascii="Times" w:hAnsi="Times"/>
          <w:sz w:val="24"/>
          <w:szCs w:val="24"/>
          <w:lang w:val="en-US"/>
        </w:rPr>
        <w:t xml:space="preserve"> the lifetime of 50.000h with an estimated failure rate of 10% during this ti</w:t>
      </w:r>
      <w:r w:rsidRPr="000F6E8E">
        <w:rPr>
          <w:rFonts w:ascii="Times" w:hAnsi="Times"/>
          <w:sz w:val="24"/>
          <w:szCs w:val="24"/>
          <w:lang w:val="en-US"/>
        </w:rPr>
        <w:t xml:space="preserve">me [3]. </w:t>
      </w:r>
    </w:p>
    <w:p w:rsidR="001C6550" w:rsidRPr="000F6E8E" w:rsidRDefault="00E82BBF">
      <w:pPr>
        <w:pStyle w:val="Brdtekst"/>
        <w:spacing w:line="288" w:lineRule="auto"/>
        <w:jc w:val="both"/>
        <w:rPr>
          <w:rFonts w:ascii="Times New Roman" w:eastAsia="Times New Roman" w:hAnsi="Times New Roman" w:cs="Times New Roman"/>
          <w:sz w:val="26"/>
          <w:szCs w:val="26"/>
          <w:lang w:val="en-US"/>
        </w:rPr>
      </w:pPr>
      <w:r w:rsidRPr="000F6E8E">
        <w:rPr>
          <w:rFonts w:ascii="Times New Roman" w:hAnsi="Times New Roman"/>
          <w:sz w:val="26"/>
          <w:szCs w:val="26"/>
          <w:lang w:val="en-US"/>
        </w:rPr>
        <w:t>//</w:t>
      </w:r>
      <w:r w:rsidRPr="000F6E8E">
        <w:rPr>
          <w:rStyle w:val="Overskrift2Tegn"/>
        </w:rPr>
        <w:t xml:space="preserve">The </w:t>
      </w:r>
      <w:proofErr w:type="spellStart"/>
      <w:r w:rsidRPr="000F6E8E">
        <w:rPr>
          <w:rStyle w:val="Overskrift2Tegn"/>
        </w:rPr>
        <w:t>NiMh</w:t>
      </w:r>
      <w:proofErr w:type="spellEnd"/>
      <w:r w:rsidRPr="000F6E8E">
        <w:rPr>
          <w:rStyle w:val="Overskrift2Tegn"/>
        </w:rPr>
        <w:t>- based battery</w:t>
      </w:r>
      <w:r w:rsidRPr="000F6E8E">
        <w:rPr>
          <w:rFonts w:ascii="Times New Roman" w:hAnsi="Times New Roman"/>
          <w:sz w:val="26"/>
          <w:szCs w:val="26"/>
          <w:lang w:val="en-US"/>
        </w:rPr>
        <w:t xml:space="preserve">  </w:t>
      </w:r>
    </w:p>
    <w:p w:rsidR="001C6550" w:rsidRPr="000F6E8E" w:rsidRDefault="00E82BBF">
      <w:pPr>
        <w:pStyle w:val="Standard"/>
        <w:spacing w:after="240" w:line="300" w:lineRule="atLeast"/>
        <w:rPr>
          <w:rFonts w:ascii="Times" w:eastAsia="Times" w:hAnsi="Times" w:cs="Times"/>
          <w:color w:val="FF2F92"/>
          <w:sz w:val="24"/>
          <w:szCs w:val="24"/>
          <w:lang w:val="en-US"/>
        </w:rPr>
      </w:pPr>
      <w:r w:rsidRPr="000F6E8E">
        <w:rPr>
          <w:rFonts w:ascii="Times" w:hAnsi="Times"/>
          <w:sz w:val="27"/>
          <w:szCs w:val="27"/>
          <w:lang w:val="en-US"/>
        </w:rPr>
        <w:t xml:space="preserve">nickel-metal hydride batteries consume a more significant amount of inputs from nature, and consequentially emits more outputs to air, water, soil, and waste. The inputs and outputs from NiMH batteries are nearly 100%. The inputs from </w:t>
      </w:r>
      <w:proofErr w:type="spellStart"/>
      <w:r w:rsidRPr="000F6E8E">
        <w:rPr>
          <w:rFonts w:ascii="Times" w:hAnsi="Times"/>
          <w:sz w:val="27"/>
          <w:szCs w:val="27"/>
          <w:lang w:val="en-US"/>
        </w:rPr>
        <w:t>LiIo</w:t>
      </w:r>
      <w:proofErr w:type="spellEnd"/>
      <w:r w:rsidRPr="000F6E8E">
        <w:rPr>
          <w:rFonts w:ascii="Times" w:hAnsi="Times"/>
          <w:sz w:val="27"/>
          <w:szCs w:val="27"/>
          <w:lang w:val="en-US"/>
        </w:rPr>
        <w:t xml:space="preserve"> batteries are le</w:t>
      </w:r>
      <w:r w:rsidRPr="000F6E8E">
        <w:rPr>
          <w:rFonts w:ascii="Times" w:hAnsi="Times"/>
          <w:sz w:val="27"/>
          <w:szCs w:val="27"/>
          <w:lang w:val="en-US"/>
        </w:rPr>
        <w:t xml:space="preserve">ss than 20%. The output from </w:t>
      </w:r>
      <w:proofErr w:type="spellStart"/>
      <w:r w:rsidRPr="000F6E8E">
        <w:rPr>
          <w:rFonts w:ascii="Times" w:hAnsi="Times"/>
          <w:sz w:val="27"/>
          <w:szCs w:val="27"/>
          <w:lang w:val="en-US"/>
        </w:rPr>
        <w:t>LiIo</w:t>
      </w:r>
      <w:proofErr w:type="spellEnd"/>
      <w:r w:rsidRPr="000F6E8E">
        <w:rPr>
          <w:rFonts w:ascii="Times" w:hAnsi="Times"/>
          <w:sz w:val="27"/>
          <w:szCs w:val="27"/>
          <w:lang w:val="en-US"/>
        </w:rPr>
        <w:t xml:space="preserve"> batteries to air is 50%, to soil it is 38%, to water it is 32% and to waste it is 100%. Overall, the emissions to air, water, and land are more significant from NiMH batteries, but the waste emission is larger for </w:t>
      </w:r>
      <w:proofErr w:type="spellStart"/>
      <w:r w:rsidRPr="000F6E8E">
        <w:rPr>
          <w:rFonts w:ascii="Times" w:hAnsi="Times"/>
          <w:sz w:val="27"/>
          <w:szCs w:val="27"/>
          <w:lang w:val="en-US"/>
        </w:rPr>
        <w:t>LiIo</w:t>
      </w:r>
      <w:proofErr w:type="spellEnd"/>
      <w:r w:rsidRPr="000F6E8E">
        <w:rPr>
          <w:rFonts w:ascii="Times" w:hAnsi="Times"/>
          <w:sz w:val="27"/>
          <w:szCs w:val="27"/>
          <w:lang w:val="en-US"/>
        </w:rPr>
        <w:t xml:space="preserve"> bat</w:t>
      </w:r>
      <w:r w:rsidRPr="000F6E8E">
        <w:rPr>
          <w:rFonts w:ascii="Times" w:hAnsi="Times"/>
          <w:sz w:val="27"/>
          <w:szCs w:val="27"/>
          <w:lang w:val="en-US"/>
        </w:rPr>
        <w:t xml:space="preserve">teries. </w:t>
      </w:r>
      <w:r w:rsidRPr="000F6E8E">
        <w:rPr>
          <w:rFonts w:ascii="Times" w:hAnsi="Times"/>
          <w:color w:val="FF2F92"/>
          <w:sz w:val="27"/>
          <w:szCs w:val="27"/>
          <w:lang w:val="en-US"/>
        </w:rPr>
        <w:t>[batteries pdf]//</w:t>
      </w:r>
    </w:p>
    <w:p w:rsidR="001C6550" w:rsidRPr="000F6E8E" w:rsidRDefault="00E82BBF">
      <w:pPr>
        <w:pStyle w:val="Standard"/>
        <w:spacing w:after="240" w:line="300" w:lineRule="atLeast"/>
        <w:rPr>
          <w:rFonts w:ascii="Times" w:eastAsia="Times" w:hAnsi="Times" w:cs="Times"/>
          <w:sz w:val="27"/>
          <w:szCs w:val="27"/>
          <w:lang w:val="en-US"/>
        </w:rPr>
      </w:pPr>
      <w:r w:rsidRPr="000F6E8E">
        <w:rPr>
          <w:rFonts w:ascii="Times" w:hAnsi="Times"/>
          <w:sz w:val="27"/>
          <w:szCs w:val="27"/>
          <w:lang w:val="en-US"/>
        </w:rPr>
        <w:t xml:space="preserve"> </w:t>
      </w:r>
    </w:p>
    <w:p w:rsidR="001C6550" w:rsidRPr="000F6E8E" w:rsidRDefault="00E82BBF" w:rsidP="000F6E8E">
      <w:pPr>
        <w:pStyle w:val="Overskrift2"/>
        <w:rPr>
          <w:rFonts w:eastAsia="Times" w:cs="Times"/>
          <w:i/>
          <w:iCs/>
        </w:rPr>
      </w:pPr>
      <w:bookmarkStart w:id="4" w:name="_Toc21372342"/>
      <w:r w:rsidRPr="000F6E8E">
        <w:t>Life Cycle phases of the solar LED street light.</w:t>
      </w:r>
      <w:bookmarkEnd w:id="4"/>
      <w:r w:rsidRPr="000F6E8E">
        <w:rPr>
          <w:i/>
          <w:iCs/>
        </w:rPr>
        <w:t xml:space="preserve">  </w:t>
      </w:r>
    </w:p>
    <w:p w:rsidR="001C6550" w:rsidRPr="000F6E8E" w:rsidRDefault="00E82BBF">
      <w:pPr>
        <w:pStyle w:val="Standard"/>
        <w:spacing w:after="240" w:line="300" w:lineRule="atLeast"/>
        <w:jc w:val="both"/>
        <w:rPr>
          <w:rFonts w:ascii="Times" w:eastAsia="Times" w:hAnsi="Times" w:cs="Times"/>
          <w:sz w:val="24"/>
          <w:szCs w:val="24"/>
          <w:lang w:val="en-US"/>
        </w:rPr>
      </w:pPr>
      <w:r w:rsidRPr="000F6E8E">
        <w:rPr>
          <w:rFonts w:ascii="Times" w:hAnsi="Times"/>
          <w:sz w:val="24"/>
          <w:szCs w:val="24"/>
          <w:lang w:val="en-US"/>
        </w:rPr>
        <w:t xml:space="preserve">The Model for LCA of a stand-alone solar driven street light system </w:t>
      </w:r>
      <w:proofErr w:type="spellStart"/>
      <w:r w:rsidRPr="000F6E8E">
        <w:rPr>
          <w:rFonts w:ascii="Times" w:hAnsi="Times"/>
          <w:sz w:val="24"/>
          <w:szCs w:val="24"/>
          <w:lang w:val="en-US"/>
        </w:rPr>
        <w:t>AsimaSun</w:t>
      </w:r>
      <w:proofErr w:type="spellEnd"/>
      <w:r w:rsidRPr="000F6E8E">
        <w:rPr>
          <w:rFonts w:ascii="Times" w:hAnsi="Times"/>
          <w:sz w:val="24"/>
          <w:szCs w:val="24"/>
          <w:lang w:val="en-US"/>
        </w:rPr>
        <w:t xml:space="preserve"> was created based on several previous research [1],[5],[7],[8</w:t>
      </w:r>
      <w:proofErr w:type="gramStart"/>
      <w:r w:rsidRPr="000F6E8E">
        <w:rPr>
          <w:rFonts w:ascii="Times" w:hAnsi="Times"/>
          <w:sz w:val="24"/>
          <w:szCs w:val="24"/>
          <w:lang w:val="en-US"/>
        </w:rPr>
        <w:t>] )</w:t>
      </w:r>
      <w:proofErr w:type="gramEnd"/>
      <w:r w:rsidRPr="000F6E8E">
        <w:rPr>
          <w:rFonts w:ascii="Times" w:hAnsi="Times"/>
          <w:sz w:val="24"/>
          <w:szCs w:val="24"/>
          <w:lang w:val="en-US"/>
        </w:rPr>
        <w:t xml:space="preserve"> on solar driven street lamps. We ad</w:t>
      </w:r>
      <w:r w:rsidRPr="000F6E8E">
        <w:rPr>
          <w:rFonts w:ascii="Times" w:hAnsi="Times"/>
          <w:sz w:val="24"/>
          <w:szCs w:val="24"/>
          <w:lang w:val="en-US"/>
        </w:rPr>
        <w:t xml:space="preserve">ded two scenarios for the product life time and product disposal. </w:t>
      </w:r>
    </w:p>
    <w:p w:rsidR="001C6550" w:rsidRPr="000F6E8E" w:rsidRDefault="00E82BBF">
      <w:pPr>
        <w:pStyle w:val="Standard"/>
        <w:spacing w:after="240" w:line="288" w:lineRule="auto"/>
        <w:jc w:val="both"/>
        <w:rPr>
          <w:rFonts w:ascii="Times" w:eastAsia="Times" w:hAnsi="Times" w:cs="Times"/>
          <w:sz w:val="24"/>
          <w:szCs w:val="24"/>
          <w:lang w:val="en-US"/>
        </w:rPr>
      </w:pPr>
      <w:proofErr w:type="gramStart"/>
      <w:r w:rsidRPr="000F6E8E">
        <w:rPr>
          <w:rFonts w:ascii="Times" w:hAnsi="Times"/>
          <w:sz w:val="24"/>
          <w:szCs w:val="24"/>
          <w:lang w:val="en-US"/>
        </w:rPr>
        <w:t>Generally</w:t>
      </w:r>
      <w:proofErr w:type="gramEnd"/>
      <w:r w:rsidRPr="000F6E8E">
        <w:rPr>
          <w:rFonts w:ascii="Times" w:hAnsi="Times"/>
          <w:sz w:val="24"/>
          <w:szCs w:val="24"/>
          <w:lang w:val="en-US"/>
        </w:rPr>
        <w:t xml:space="preserve"> the Life- Cycle phases of the product or a system are simplified down to five main phases (as in figure 2): </w:t>
      </w:r>
      <w:r w:rsidRPr="000F6E8E">
        <w:rPr>
          <w:rFonts w:ascii="Times" w:hAnsi="Times"/>
          <w:sz w:val="24"/>
          <w:szCs w:val="24"/>
          <w:lang w:val="en-US"/>
        </w:rPr>
        <w:t>“</w:t>
      </w:r>
      <w:r w:rsidRPr="000F6E8E">
        <w:rPr>
          <w:rFonts w:ascii="Times" w:hAnsi="Times"/>
          <w:sz w:val="24"/>
          <w:szCs w:val="24"/>
          <w:lang w:val="en-US"/>
        </w:rPr>
        <w:t>primary resource acquisition, raw material processing, manufacturing a</w:t>
      </w:r>
      <w:r w:rsidRPr="000F6E8E">
        <w:rPr>
          <w:rFonts w:ascii="Times" w:hAnsi="Times"/>
          <w:sz w:val="24"/>
          <w:szCs w:val="24"/>
          <w:lang w:val="en-US"/>
        </w:rPr>
        <w:t xml:space="preserve">nd assembly, </w:t>
      </w:r>
      <w:r w:rsidRPr="000F6E8E">
        <w:rPr>
          <w:rFonts w:ascii="Times" w:hAnsi="Times"/>
          <w:sz w:val="24"/>
          <w:szCs w:val="24"/>
          <w:lang w:val="en-US"/>
        </w:rPr>
        <w:lastRenderedPageBreak/>
        <w:t>use, and the end-of-life phase</w:t>
      </w:r>
      <w:r w:rsidRPr="000F6E8E">
        <w:rPr>
          <w:rFonts w:ascii="Times" w:hAnsi="Times"/>
          <w:sz w:val="24"/>
          <w:szCs w:val="24"/>
          <w:lang w:val="en-US"/>
        </w:rPr>
        <w:t xml:space="preserve">” </w:t>
      </w:r>
      <w:r w:rsidRPr="000F6E8E">
        <w:rPr>
          <w:rFonts w:ascii="Times" w:hAnsi="Times"/>
          <w:sz w:val="24"/>
          <w:szCs w:val="24"/>
          <w:lang w:val="en-US"/>
        </w:rPr>
        <w:t xml:space="preserve">[1], including transportation between phases. It is important to note that the end-of-life phase can vary due to the time </w:t>
      </w:r>
      <w:proofErr w:type="spellStart"/>
      <w:r w:rsidRPr="000F6E8E">
        <w:rPr>
          <w:rFonts w:ascii="Times" w:hAnsi="Times"/>
          <w:sz w:val="24"/>
          <w:szCs w:val="24"/>
          <w:lang w:val="en-US"/>
        </w:rPr>
        <w:t>horisont</w:t>
      </w:r>
      <w:proofErr w:type="spellEnd"/>
      <w:r w:rsidRPr="000F6E8E">
        <w:rPr>
          <w:rFonts w:ascii="Times" w:hAnsi="Times"/>
          <w:sz w:val="24"/>
          <w:szCs w:val="24"/>
          <w:lang w:val="en-US"/>
        </w:rPr>
        <w:t xml:space="preserve"> of street lamp working life (up till 15 years). Since we </w:t>
      </w:r>
      <w:proofErr w:type="spellStart"/>
      <w:r w:rsidRPr="000F6E8E">
        <w:rPr>
          <w:rFonts w:ascii="Times" w:hAnsi="Times"/>
          <w:sz w:val="24"/>
          <w:szCs w:val="24"/>
          <w:lang w:val="en-US"/>
        </w:rPr>
        <w:t>dont</w:t>
      </w:r>
      <w:proofErr w:type="spellEnd"/>
      <w:r w:rsidRPr="000F6E8E">
        <w:rPr>
          <w:rFonts w:ascii="Times" w:hAnsi="Times"/>
          <w:sz w:val="24"/>
          <w:szCs w:val="24"/>
          <w:lang w:val="en-US"/>
        </w:rPr>
        <w:t xml:space="preserve"> know how the lamp </w:t>
      </w:r>
      <w:r w:rsidRPr="000F6E8E">
        <w:rPr>
          <w:rFonts w:ascii="Times" w:hAnsi="Times"/>
          <w:sz w:val="24"/>
          <w:szCs w:val="24"/>
          <w:lang w:val="en-US"/>
        </w:rPr>
        <w:t xml:space="preserve">can be processed for disposal in the future there will be two possible disposal scenarios considered: landfilling and recycling. </w:t>
      </w:r>
    </w:p>
    <w:p w:rsidR="001C6550" w:rsidRPr="000F6E8E" w:rsidRDefault="00E82BBF">
      <w:pPr>
        <w:pStyle w:val="Standard"/>
        <w:spacing w:after="240" w:line="288" w:lineRule="auto"/>
        <w:jc w:val="both"/>
        <w:rPr>
          <w:rFonts w:ascii="Times" w:eastAsia="Times" w:hAnsi="Times" w:cs="Times"/>
          <w:sz w:val="24"/>
          <w:szCs w:val="24"/>
          <w:lang w:val="en-US"/>
        </w:rPr>
      </w:pPr>
      <w:r w:rsidRPr="000F6E8E">
        <w:rPr>
          <w:rFonts w:ascii="Times" w:hAnsi="Times"/>
          <w:sz w:val="24"/>
          <w:szCs w:val="24"/>
          <w:lang w:val="en-US"/>
        </w:rPr>
        <w:t>At the same time, two usage scenarios will be studied through this project according to the functional unit. As it was mention</w:t>
      </w:r>
      <w:r w:rsidRPr="000F6E8E">
        <w:rPr>
          <w:rFonts w:ascii="Times" w:hAnsi="Times"/>
          <w:sz w:val="24"/>
          <w:szCs w:val="24"/>
          <w:lang w:val="en-US"/>
        </w:rPr>
        <w:t xml:space="preserve">ed in the previous chapter, the </w:t>
      </w:r>
      <w:proofErr w:type="spellStart"/>
      <w:r w:rsidRPr="000F6E8E">
        <w:rPr>
          <w:rFonts w:ascii="Times" w:hAnsi="Times"/>
          <w:sz w:val="24"/>
          <w:szCs w:val="24"/>
          <w:lang w:val="en-US"/>
        </w:rPr>
        <w:t>standart</w:t>
      </w:r>
      <w:proofErr w:type="spellEnd"/>
      <w:r w:rsidRPr="000F6E8E">
        <w:rPr>
          <w:rFonts w:ascii="Times" w:hAnsi="Times"/>
          <w:sz w:val="24"/>
          <w:szCs w:val="24"/>
          <w:lang w:val="en-US"/>
        </w:rPr>
        <w:t xml:space="preserve"> LED's average lifetime with </w:t>
      </w:r>
      <w:proofErr w:type="gramStart"/>
      <w:r w:rsidRPr="000F6E8E">
        <w:rPr>
          <w:rFonts w:ascii="Times" w:hAnsi="Times"/>
          <w:sz w:val="24"/>
          <w:szCs w:val="24"/>
          <w:lang w:val="en-US"/>
        </w:rPr>
        <w:t>sufficient</w:t>
      </w:r>
      <w:proofErr w:type="gramEnd"/>
      <w:r w:rsidRPr="000F6E8E">
        <w:rPr>
          <w:rFonts w:ascii="Times" w:hAnsi="Times"/>
          <w:sz w:val="24"/>
          <w:szCs w:val="24"/>
          <w:lang w:val="en-US"/>
        </w:rPr>
        <w:t xml:space="preserve"> light output is 50,000 h of lighting. </w:t>
      </w:r>
      <w:proofErr w:type="spellStart"/>
      <w:r w:rsidRPr="000F6E8E">
        <w:rPr>
          <w:rFonts w:ascii="Times" w:hAnsi="Times"/>
          <w:sz w:val="24"/>
          <w:szCs w:val="24"/>
          <w:lang w:val="en-US"/>
        </w:rPr>
        <w:t>AsimaSun</w:t>
      </w:r>
      <w:proofErr w:type="spellEnd"/>
      <w:r w:rsidRPr="000F6E8E">
        <w:rPr>
          <w:rFonts w:ascii="Times" w:hAnsi="Times"/>
          <w:sz w:val="24"/>
          <w:szCs w:val="24"/>
          <w:lang w:val="en-US"/>
        </w:rPr>
        <w:t xml:space="preserve"> LEDs type are estimated up to 100,000 working hours, which is equivalent to 12 years operation (24 hours a day). Most solar panel</w:t>
      </w:r>
      <w:r w:rsidRPr="000F6E8E">
        <w:rPr>
          <w:rFonts w:ascii="Times" w:hAnsi="Times"/>
          <w:sz w:val="24"/>
          <w:szCs w:val="24"/>
          <w:lang w:val="en-US"/>
        </w:rPr>
        <w:t xml:space="preserve">s turn on and turn off automatically by sensing outdoor light using a light source. Solar streetlights are designed to work throughout the night. Many can stay lit for more than one night if the sun is not available for a couple of days [4]. </w:t>
      </w:r>
    </w:p>
    <w:p w:rsidR="001C6550" w:rsidRPr="000F6E8E" w:rsidRDefault="00E82BBF">
      <w:pPr>
        <w:pStyle w:val="Standard"/>
        <w:spacing w:after="240" w:line="288" w:lineRule="auto"/>
        <w:jc w:val="both"/>
        <w:rPr>
          <w:rFonts w:ascii="Times" w:eastAsia="Times" w:hAnsi="Times" w:cs="Times"/>
          <w:sz w:val="24"/>
          <w:szCs w:val="24"/>
          <w:lang w:val="en-US"/>
        </w:rPr>
      </w:pPr>
      <w:r w:rsidRPr="000F6E8E">
        <w:rPr>
          <w:rFonts w:ascii="Times" w:hAnsi="Times"/>
          <w:sz w:val="24"/>
          <w:szCs w:val="24"/>
          <w:lang w:val="en-US"/>
        </w:rPr>
        <w:t>In Figure 2 t</w:t>
      </w:r>
      <w:r w:rsidRPr="000F6E8E">
        <w:rPr>
          <w:rFonts w:ascii="Times" w:hAnsi="Times"/>
          <w:sz w:val="24"/>
          <w:szCs w:val="24"/>
          <w:lang w:val="en-US"/>
        </w:rPr>
        <w:t xml:space="preserve">here are both scenarios of lamp life time included. The life time of 100,00 will be used as base case scenario [9] and compared to the live of 50,000 h.  </w:t>
      </w:r>
    </w:p>
    <w:p w:rsidR="001C6550" w:rsidRPr="000F6E8E" w:rsidRDefault="00E82BBF">
      <w:pPr>
        <w:pStyle w:val="Standard"/>
        <w:spacing w:after="240" w:line="288" w:lineRule="auto"/>
        <w:jc w:val="both"/>
        <w:rPr>
          <w:rFonts w:ascii="Times" w:eastAsia="Times" w:hAnsi="Times" w:cs="Times"/>
          <w:sz w:val="24"/>
          <w:szCs w:val="24"/>
          <w:lang w:val="en-US"/>
        </w:rPr>
      </w:pPr>
      <w:r w:rsidRPr="000F6E8E">
        <w:rPr>
          <w:rFonts w:ascii="Times" w:hAnsi="Times"/>
          <w:sz w:val="24"/>
          <w:szCs w:val="24"/>
          <w:lang w:val="en-US"/>
        </w:rPr>
        <w:t xml:space="preserve">There </w:t>
      </w:r>
      <w:proofErr w:type="gramStart"/>
      <w:r w:rsidRPr="000F6E8E">
        <w:rPr>
          <w:rFonts w:ascii="Times" w:hAnsi="Times"/>
          <w:sz w:val="24"/>
          <w:szCs w:val="24"/>
          <w:lang w:val="en-US"/>
        </w:rPr>
        <w:t>are</w:t>
      </w:r>
      <w:proofErr w:type="gramEnd"/>
      <w:r w:rsidRPr="000F6E8E">
        <w:rPr>
          <w:rFonts w:ascii="Times" w:hAnsi="Times"/>
          <w:sz w:val="24"/>
          <w:szCs w:val="24"/>
          <w:lang w:val="en-US"/>
        </w:rPr>
        <w:t xml:space="preserve"> transport input during each stage of product life. We assume also that the major transport </w:t>
      </w:r>
      <w:r w:rsidRPr="000F6E8E">
        <w:rPr>
          <w:rFonts w:ascii="Times" w:hAnsi="Times"/>
          <w:sz w:val="24"/>
          <w:szCs w:val="24"/>
          <w:lang w:val="en-US"/>
        </w:rPr>
        <w:t xml:space="preserve">impacts are under customer distribution phase and disposal phase, as it might require international freight. More general data for transport units can be adopted from </w:t>
      </w:r>
      <w:proofErr w:type="spellStart"/>
      <w:r w:rsidRPr="000F6E8E">
        <w:rPr>
          <w:rFonts w:ascii="Times" w:hAnsi="Times"/>
          <w:sz w:val="24"/>
          <w:szCs w:val="24"/>
          <w:lang w:val="en-US"/>
        </w:rPr>
        <w:t>T</w:t>
      </w:r>
      <w:r w:rsidRPr="000F6E8E">
        <w:rPr>
          <w:rFonts w:ascii="Times" w:hAnsi="Times"/>
          <w:sz w:val="24"/>
          <w:szCs w:val="24"/>
          <w:lang w:val="en-US"/>
        </w:rPr>
        <w:t>ä</w:t>
      </w:r>
      <w:r>
        <w:rPr>
          <w:rFonts w:ascii="Times" w:hAnsi="Times"/>
          <w:sz w:val="24"/>
          <w:szCs w:val="24"/>
          <w:lang w:val="de-DE"/>
        </w:rPr>
        <w:t>hk</w:t>
      </w:r>
      <w:r w:rsidRPr="000F6E8E">
        <w:rPr>
          <w:rFonts w:ascii="Times" w:hAnsi="Times"/>
          <w:sz w:val="24"/>
          <w:szCs w:val="24"/>
          <w:lang w:val="en-US"/>
        </w:rPr>
        <w:t>ä</w:t>
      </w:r>
      <w:r w:rsidRPr="000F6E8E">
        <w:rPr>
          <w:rFonts w:ascii="Times" w:hAnsi="Times"/>
          <w:sz w:val="24"/>
          <w:szCs w:val="24"/>
          <w:lang w:val="en-US"/>
        </w:rPr>
        <w:t>m</w:t>
      </w:r>
      <w:proofErr w:type="spellEnd"/>
      <w:r>
        <w:rPr>
          <w:rFonts w:ascii="Times" w:hAnsi="Times"/>
          <w:sz w:val="24"/>
          <w:szCs w:val="24"/>
          <w:lang w:val="sv-SE"/>
        </w:rPr>
        <w:t>ö</w:t>
      </w:r>
      <w:r w:rsidRPr="000F6E8E">
        <w:rPr>
          <w:rFonts w:ascii="Times" w:hAnsi="Times"/>
          <w:sz w:val="24"/>
          <w:szCs w:val="24"/>
          <w:lang w:val="en-US"/>
        </w:rPr>
        <w:t xml:space="preserve"> </w:t>
      </w:r>
      <w:proofErr w:type="spellStart"/>
      <w:proofErr w:type="gramStart"/>
      <w:r w:rsidRPr="000F6E8E">
        <w:rPr>
          <w:rFonts w:ascii="Times" w:hAnsi="Times"/>
          <w:sz w:val="24"/>
          <w:szCs w:val="24"/>
          <w:lang w:val="en-US"/>
        </w:rPr>
        <w:t>et,al</w:t>
      </w:r>
      <w:proofErr w:type="spellEnd"/>
      <w:proofErr w:type="gramEnd"/>
      <w:r w:rsidRPr="000F6E8E">
        <w:rPr>
          <w:rFonts w:ascii="Times" w:hAnsi="Times"/>
          <w:sz w:val="24"/>
          <w:szCs w:val="24"/>
          <w:lang w:val="en-US"/>
        </w:rPr>
        <w:t xml:space="preserve"> [9], as a default scenarios for the product environmental profile (PEP): the global transport is estimated to be 19,000 km by ship and 1,000 km by lorry, the intercontinental transport 3,500 km by lorry, and local transport 1,000 km by lorry. </w:t>
      </w:r>
    </w:p>
    <w:p w:rsidR="001C6550" w:rsidRPr="000F6E8E" w:rsidRDefault="00E82BBF">
      <w:pPr>
        <w:pStyle w:val="Standard"/>
        <w:spacing w:after="240" w:line="288" w:lineRule="auto"/>
        <w:jc w:val="both"/>
        <w:rPr>
          <w:rFonts w:ascii="Times" w:eastAsia="Times" w:hAnsi="Times" w:cs="Times"/>
          <w:sz w:val="24"/>
          <w:szCs w:val="24"/>
          <w:lang w:val="en-US"/>
        </w:rPr>
      </w:pPr>
      <w:r w:rsidRPr="000F6E8E">
        <w:rPr>
          <w:rFonts w:ascii="Times" w:hAnsi="Times"/>
          <w:sz w:val="24"/>
          <w:szCs w:val="24"/>
          <w:lang w:val="en-US"/>
        </w:rPr>
        <w:t xml:space="preserve"> </w:t>
      </w:r>
    </w:p>
    <w:p w:rsidR="001C6550" w:rsidRPr="000F6E8E" w:rsidRDefault="00E82BBF">
      <w:pPr>
        <w:pStyle w:val="Standard"/>
        <w:spacing w:after="240" w:line="288" w:lineRule="auto"/>
        <w:jc w:val="both"/>
        <w:rPr>
          <w:rFonts w:ascii="Times" w:eastAsia="Times" w:hAnsi="Times" w:cs="Times"/>
          <w:sz w:val="24"/>
          <w:szCs w:val="24"/>
          <w:lang w:val="en-US"/>
        </w:rPr>
      </w:pPr>
      <w:r>
        <w:rPr>
          <w:rFonts w:ascii="Times" w:eastAsia="Times" w:hAnsi="Times" w:cs="Times"/>
          <w:noProof/>
          <w:sz w:val="24"/>
          <w:szCs w:val="24"/>
        </w:rPr>
        <w:lastRenderedPageBreak/>
        <w:drawing>
          <wp:anchor distT="152400" distB="152400" distL="152400" distR="152400" simplePos="0" relativeHeight="251660288" behindDoc="0" locked="0" layoutInCell="1" allowOverlap="1">
            <wp:simplePos x="0" y="0"/>
            <wp:positionH relativeFrom="margin">
              <wp:posOffset>-10244</wp:posOffset>
            </wp:positionH>
            <wp:positionV relativeFrom="line">
              <wp:posOffset>-152400</wp:posOffset>
            </wp:positionV>
            <wp:extent cx="6120057" cy="4590042"/>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asima_chart_flow.001.jpeg"/>
                    <pic:cNvPicPr>
                      <a:picLocks noChangeAspect="1"/>
                    </pic:cNvPicPr>
                  </pic:nvPicPr>
                  <pic:blipFill>
                    <a:blip r:embed="rId8">
                      <a:extLst/>
                    </a:blip>
                    <a:stretch>
                      <a:fillRect/>
                    </a:stretch>
                  </pic:blipFill>
                  <pic:spPr>
                    <a:xfrm>
                      <a:off x="0" y="0"/>
                      <a:ext cx="6120057" cy="4590042"/>
                    </a:xfrm>
                    <a:prstGeom prst="rect">
                      <a:avLst/>
                    </a:prstGeom>
                    <a:ln w="12700" cap="flat">
                      <a:noFill/>
                      <a:miter lim="400000"/>
                    </a:ln>
                    <a:effectLst/>
                  </pic:spPr>
                </pic:pic>
              </a:graphicData>
            </a:graphic>
          </wp:anchor>
        </w:drawing>
      </w:r>
      <w:r w:rsidRPr="000F6E8E">
        <w:rPr>
          <w:rFonts w:ascii="Times" w:hAnsi="Times"/>
          <w:sz w:val="24"/>
          <w:szCs w:val="24"/>
          <w:lang w:val="en-US"/>
        </w:rPr>
        <w:t>Fi</w:t>
      </w:r>
      <w:r w:rsidRPr="000F6E8E">
        <w:rPr>
          <w:rFonts w:ascii="Times" w:hAnsi="Times"/>
          <w:sz w:val="24"/>
          <w:szCs w:val="24"/>
          <w:lang w:val="en-US"/>
        </w:rPr>
        <w:t xml:space="preserve">gure 2. Life Cycle phases of the </w:t>
      </w:r>
      <w:proofErr w:type="spellStart"/>
      <w:r w:rsidRPr="000F6E8E">
        <w:rPr>
          <w:rFonts w:ascii="Times" w:hAnsi="Times"/>
          <w:sz w:val="24"/>
          <w:szCs w:val="24"/>
          <w:lang w:val="en-US"/>
        </w:rPr>
        <w:t>AsimaSun</w:t>
      </w:r>
      <w:proofErr w:type="spellEnd"/>
      <w:r w:rsidRPr="000F6E8E">
        <w:rPr>
          <w:rFonts w:ascii="Times" w:hAnsi="Times"/>
          <w:sz w:val="24"/>
          <w:szCs w:val="24"/>
          <w:lang w:val="en-US"/>
        </w:rPr>
        <w:t xml:space="preserve"> street light.  </w:t>
      </w:r>
    </w:p>
    <w:p w:rsidR="001C6550" w:rsidRPr="000F6E8E" w:rsidRDefault="001C6550">
      <w:pPr>
        <w:pStyle w:val="Standard"/>
        <w:spacing w:after="240" w:line="260" w:lineRule="atLeast"/>
        <w:rPr>
          <w:rFonts w:ascii="Times" w:eastAsia="Times" w:hAnsi="Times" w:cs="Times"/>
          <w:b/>
          <w:bCs/>
          <w:sz w:val="24"/>
          <w:szCs w:val="24"/>
          <w:lang w:val="en-US"/>
        </w:rPr>
      </w:pPr>
    </w:p>
    <w:p w:rsidR="001C6550" w:rsidRPr="000F6E8E" w:rsidRDefault="00E82BBF" w:rsidP="000F6E8E">
      <w:pPr>
        <w:pStyle w:val="Overskrift2"/>
        <w:rPr>
          <w:rFonts w:eastAsia="Times" w:cs="Times"/>
          <w:b/>
          <w:bCs/>
          <w:sz w:val="24"/>
          <w:szCs w:val="24"/>
        </w:rPr>
      </w:pPr>
      <w:bookmarkStart w:id="5" w:name="_Toc21372343"/>
      <w:r w:rsidRPr="000F6E8E">
        <w:t xml:space="preserve">Geographic </w:t>
      </w:r>
      <w:proofErr w:type="gramStart"/>
      <w:r w:rsidRPr="000F6E8E">
        <w:t>boundaries  and</w:t>
      </w:r>
      <w:proofErr w:type="gramEnd"/>
      <w:r w:rsidRPr="000F6E8E">
        <w:t xml:space="preserve"> disposal scenario.</w:t>
      </w:r>
      <w:bookmarkEnd w:id="5"/>
      <w:r w:rsidRPr="000F6E8E">
        <w:rPr>
          <w:b/>
          <w:bCs/>
        </w:rPr>
        <w:t xml:space="preserve"> </w:t>
      </w:r>
    </w:p>
    <w:p w:rsidR="001C6550" w:rsidRPr="000F6E8E" w:rsidRDefault="00E82BBF">
      <w:pPr>
        <w:pStyle w:val="Standard"/>
        <w:spacing w:after="240" w:line="260" w:lineRule="atLeast"/>
        <w:jc w:val="both"/>
        <w:rPr>
          <w:rFonts w:ascii="Times" w:eastAsia="Times" w:hAnsi="Times" w:cs="Times"/>
          <w:sz w:val="24"/>
          <w:szCs w:val="24"/>
          <w:lang w:val="en-US"/>
        </w:rPr>
      </w:pPr>
      <w:proofErr w:type="spellStart"/>
      <w:r w:rsidRPr="000F6E8E">
        <w:rPr>
          <w:rFonts w:ascii="Times" w:hAnsi="Times"/>
          <w:sz w:val="24"/>
          <w:szCs w:val="24"/>
          <w:lang w:val="en-US"/>
        </w:rPr>
        <w:t>Suncil</w:t>
      </w:r>
      <w:proofErr w:type="spellEnd"/>
      <w:r w:rsidRPr="000F6E8E">
        <w:rPr>
          <w:rFonts w:ascii="Times" w:hAnsi="Times"/>
          <w:sz w:val="24"/>
          <w:szCs w:val="24"/>
          <w:lang w:val="en-US"/>
        </w:rPr>
        <w:t xml:space="preserve"> Aps distributes their solar street light systems in Europe, USA and UAE. We assume that the product in question - </w:t>
      </w:r>
      <w:proofErr w:type="spellStart"/>
      <w:r w:rsidRPr="000F6E8E">
        <w:rPr>
          <w:rFonts w:ascii="Times" w:hAnsi="Times"/>
          <w:sz w:val="24"/>
          <w:szCs w:val="24"/>
          <w:lang w:val="en-US"/>
        </w:rPr>
        <w:t>AsimaSun</w:t>
      </w:r>
      <w:proofErr w:type="spellEnd"/>
      <w:r w:rsidRPr="000F6E8E">
        <w:rPr>
          <w:rFonts w:ascii="Times" w:hAnsi="Times"/>
          <w:sz w:val="24"/>
          <w:szCs w:val="24"/>
          <w:lang w:val="en-US"/>
        </w:rPr>
        <w:t xml:space="preserve"> lamp is assembled in</w:t>
      </w:r>
      <w:r w:rsidRPr="000F6E8E">
        <w:rPr>
          <w:rFonts w:ascii="Times" w:hAnsi="Times"/>
          <w:sz w:val="24"/>
          <w:szCs w:val="24"/>
          <w:lang w:val="en-US"/>
        </w:rPr>
        <w:t xml:space="preserve"> Europe in one of the </w:t>
      </w:r>
      <w:proofErr w:type="spellStart"/>
      <w:proofErr w:type="gramStart"/>
      <w:r w:rsidRPr="000F6E8E">
        <w:rPr>
          <w:rFonts w:ascii="Times" w:hAnsi="Times"/>
          <w:sz w:val="24"/>
          <w:szCs w:val="24"/>
          <w:lang w:val="en-US"/>
        </w:rPr>
        <w:t>companies</w:t>
      </w:r>
      <w:proofErr w:type="spellEnd"/>
      <w:proofErr w:type="gramEnd"/>
      <w:r w:rsidRPr="000F6E8E">
        <w:rPr>
          <w:rFonts w:ascii="Times" w:hAnsi="Times"/>
          <w:sz w:val="24"/>
          <w:szCs w:val="24"/>
          <w:lang w:val="en-US"/>
        </w:rPr>
        <w:t xml:space="preserve"> production facilities and installed in Denmark. As Denmark has </w:t>
      </w:r>
      <w:proofErr w:type="spellStart"/>
      <w:r>
        <w:rPr>
          <w:rFonts w:ascii="Times" w:hAnsi="Times"/>
          <w:sz w:val="24"/>
          <w:szCs w:val="24"/>
          <w:lang w:val="en-US"/>
        </w:rPr>
        <w:t>has</w:t>
      </w:r>
      <w:proofErr w:type="spellEnd"/>
      <w:r>
        <w:rPr>
          <w:rFonts w:ascii="Times" w:hAnsi="Times"/>
          <w:sz w:val="24"/>
          <w:szCs w:val="24"/>
          <w:lang w:val="en-US"/>
        </w:rPr>
        <w:t xml:space="preserve"> one of the lowest landfilling rates in Europe and it has been stable around 5-6% for the past ten years</w:t>
      </w:r>
      <w:r w:rsidRPr="000F6E8E">
        <w:rPr>
          <w:rFonts w:ascii="Times" w:hAnsi="Times"/>
          <w:sz w:val="24"/>
          <w:szCs w:val="24"/>
          <w:lang w:val="en-US"/>
        </w:rPr>
        <w:t xml:space="preserve"> [10], we assume that the landfill scenario for the wa</w:t>
      </w:r>
      <w:r w:rsidRPr="000F6E8E">
        <w:rPr>
          <w:rFonts w:ascii="Times" w:hAnsi="Times"/>
          <w:sz w:val="24"/>
          <w:szCs w:val="24"/>
          <w:lang w:val="en-US"/>
        </w:rPr>
        <w:t xml:space="preserve">ste treatment will take only 5%, the rest should be recycled, remanufactured and reused. </w:t>
      </w:r>
    </w:p>
    <w:p w:rsidR="001C6550" w:rsidRPr="000F6E8E" w:rsidRDefault="00E82BBF" w:rsidP="000F6E8E">
      <w:pPr>
        <w:pStyle w:val="Overskrift2"/>
        <w:rPr>
          <w:rFonts w:eastAsia="Times" w:cs="Times"/>
        </w:rPr>
      </w:pPr>
      <w:bookmarkStart w:id="6" w:name="_Toc21372344"/>
      <w:r w:rsidRPr="000F6E8E">
        <w:t>Delimitations and approach to data gathering.</w:t>
      </w:r>
      <w:bookmarkEnd w:id="6"/>
      <w:r w:rsidRPr="000F6E8E">
        <w:t xml:space="preserve"> </w:t>
      </w:r>
    </w:p>
    <w:p w:rsidR="001C6550" w:rsidRPr="000F6E8E" w:rsidRDefault="00E82BBF">
      <w:pPr>
        <w:pStyle w:val="Standard"/>
        <w:spacing w:after="240" w:line="260" w:lineRule="atLeast"/>
        <w:jc w:val="both"/>
        <w:rPr>
          <w:rFonts w:ascii="Times" w:eastAsia="Times" w:hAnsi="Times" w:cs="Times"/>
          <w:sz w:val="25"/>
          <w:szCs w:val="25"/>
          <w:lang w:val="en-US"/>
        </w:rPr>
      </w:pPr>
      <w:r w:rsidRPr="000F6E8E">
        <w:rPr>
          <w:rFonts w:ascii="Times" w:hAnsi="Times"/>
          <w:sz w:val="25"/>
          <w:szCs w:val="25"/>
          <w:lang w:val="en-US"/>
        </w:rPr>
        <w:t>There are two plans for data acquisition for the present project. Plan A is to contact directly the manufacture and req</w:t>
      </w:r>
      <w:r w:rsidRPr="000F6E8E">
        <w:rPr>
          <w:rFonts w:ascii="Times" w:hAnsi="Times"/>
          <w:sz w:val="25"/>
          <w:szCs w:val="25"/>
          <w:lang w:val="en-US"/>
        </w:rPr>
        <w:t xml:space="preserve">uest more detailed components and product data sheets, production locations and transport information, as well as the masses and percentages of materials. Since there has already been made separate Life cycle </w:t>
      </w:r>
      <w:proofErr w:type="spellStart"/>
      <w:r w:rsidRPr="000F6E8E">
        <w:rPr>
          <w:rFonts w:ascii="Times" w:hAnsi="Times"/>
          <w:sz w:val="25"/>
          <w:szCs w:val="25"/>
          <w:lang w:val="en-US"/>
        </w:rPr>
        <w:t>analises</w:t>
      </w:r>
      <w:proofErr w:type="spellEnd"/>
      <w:r w:rsidRPr="000F6E8E">
        <w:rPr>
          <w:rFonts w:ascii="Times" w:hAnsi="Times"/>
          <w:sz w:val="25"/>
          <w:szCs w:val="25"/>
          <w:lang w:val="en-US"/>
        </w:rPr>
        <w:t xml:space="preserve"> of LEDs, </w:t>
      </w:r>
      <w:proofErr w:type="spellStart"/>
      <w:r w:rsidRPr="000F6E8E">
        <w:rPr>
          <w:rFonts w:ascii="Times" w:hAnsi="Times"/>
          <w:sz w:val="25"/>
          <w:szCs w:val="25"/>
          <w:lang w:val="en-US"/>
        </w:rPr>
        <w:t>aluminium</w:t>
      </w:r>
      <w:proofErr w:type="spellEnd"/>
      <w:r w:rsidRPr="000F6E8E">
        <w:rPr>
          <w:rFonts w:ascii="Times" w:hAnsi="Times"/>
          <w:sz w:val="25"/>
          <w:szCs w:val="25"/>
          <w:lang w:val="en-US"/>
        </w:rPr>
        <w:t xml:space="preserve"> poles, rechargeable</w:t>
      </w:r>
      <w:r w:rsidRPr="000F6E8E">
        <w:rPr>
          <w:rFonts w:ascii="Times" w:hAnsi="Times"/>
          <w:sz w:val="25"/>
          <w:szCs w:val="25"/>
          <w:lang w:val="en-US"/>
        </w:rPr>
        <w:t xml:space="preserve"> </w:t>
      </w:r>
      <w:proofErr w:type="spellStart"/>
      <w:r w:rsidRPr="000F6E8E">
        <w:rPr>
          <w:rFonts w:ascii="Times" w:hAnsi="Times"/>
          <w:sz w:val="25"/>
          <w:szCs w:val="25"/>
          <w:lang w:val="en-US"/>
        </w:rPr>
        <w:t>NiMh</w:t>
      </w:r>
      <w:proofErr w:type="spellEnd"/>
      <w:r w:rsidRPr="000F6E8E">
        <w:rPr>
          <w:rFonts w:ascii="Times" w:hAnsi="Times"/>
          <w:sz w:val="25"/>
          <w:szCs w:val="25"/>
          <w:lang w:val="en-US"/>
        </w:rPr>
        <w:t xml:space="preserve"> batteries, PV solar panels </w:t>
      </w:r>
      <w:proofErr w:type="gramStart"/>
      <w:r w:rsidRPr="000F6E8E">
        <w:rPr>
          <w:rFonts w:ascii="Times" w:hAnsi="Times"/>
          <w:sz w:val="25"/>
          <w:szCs w:val="25"/>
          <w:lang w:val="en-US"/>
        </w:rPr>
        <w:t>and etc.</w:t>
      </w:r>
      <w:proofErr w:type="gramEnd"/>
      <w:r w:rsidRPr="000F6E8E">
        <w:rPr>
          <w:rFonts w:ascii="Times" w:hAnsi="Times"/>
          <w:sz w:val="25"/>
          <w:szCs w:val="25"/>
          <w:lang w:val="en-US"/>
        </w:rPr>
        <w:t xml:space="preserve">, so in other case: Plan B is to use general data derived from previous LCA research and databases (such as for ex. </w:t>
      </w:r>
      <w:proofErr w:type="spellStart"/>
      <w:r w:rsidRPr="000F6E8E">
        <w:rPr>
          <w:rFonts w:ascii="Times" w:hAnsi="Times"/>
          <w:sz w:val="25"/>
          <w:szCs w:val="25"/>
          <w:lang w:val="en-US"/>
        </w:rPr>
        <w:t>Ecoinvent</w:t>
      </w:r>
      <w:proofErr w:type="spellEnd"/>
      <w:r w:rsidRPr="000F6E8E">
        <w:rPr>
          <w:rFonts w:ascii="Times" w:hAnsi="Times"/>
          <w:sz w:val="25"/>
          <w:szCs w:val="25"/>
          <w:lang w:val="en-US"/>
        </w:rPr>
        <w:t xml:space="preserve"> 3) and to make general product assumptions.  </w:t>
      </w:r>
    </w:p>
    <w:p w:rsidR="001C6550" w:rsidRPr="000F6E8E" w:rsidRDefault="00E82BBF">
      <w:pPr>
        <w:pStyle w:val="Standard"/>
        <w:spacing w:after="240" w:line="260" w:lineRule="atLeast"/>
        <w:jc w:val="both"/>
        <w:rPr>
          <w:rFonts w:ascii="Times" w:eastAsia="Times" w:hAnsi="Times" w:cs="Times"/>
          <w:sz w:val="25"/>
          <w:szCs w:val="25"/>
          <w:lang w:val="en-US"/>
        </w:rPr>
      </w:pPr>
      <w:r>
        <w:rPr>
          <w:rFonts w:ascii="Times" w:hAnsi="Times"/>
          <w:sz w:val="25"/>
          <w:szCs w:val="25"/>
          <w:lang w:val="en-US"/>
        </w:rPr>
        <w:t xml:space="preserve">The system boundaries </w:t>
      </w:r>
      <w:proofErr w:type="gramStart"/>
      <w:r>
        <w:rPr>
          <w:rFonts w:ascii="Times" w:hAnsi="Times"/>
          <w:sz w:val="25"/>
          <w:szCs w:val="25"/>
          <w:lang w:val="en-US"/>
        </w:rPr>
        <w:t>exclude</w:t>
      </w:r>
      <w:r w:rsidRPr="000F6E8E">
        <w:rPr>
          <w:rFonts w:ascii="Times" w:hAnsi="Times"/>
          <w:sz w:val="25"/>
          <w:szCs w:val="25"/>
          <w:lang w:val="en-US"/>
        </w:rPr>
        <w:t xml:space="preserve">  travel</w:t>
      </w:r>
      <w:proofErr w:type="gramEnd"/>
      <w:r w:rsidRPr="000F6E8E">
        <w:rPr>
          <w:rFonts w:ascii="Times" w:hAnsi="Times"/>
          <w:sz w:val="25"/>
          <w:szCs w:val="25"/>
          <w:lang w:val="en-US"/>
        </w:rPr>
        <w:t xml:space="preserve"> impacts for LED replacements, the lighting, heating and maintenance of production facilities, transport of the employees, water for cleaning PV </w:t>
      </w:r>
      <w:proofErr w:type="spellStart"/>
      <w:r w:rsidRPr="000F6E8E">
        <w:rPr>
          <w:rFonts w:ascii="Times" w:hAnsi="Times"/>
          <w:sz w:val="25"/>
          <w:szCs w:val="25"/>
          <w:lang w:val="en-US"/>
        </w:rPr>
        <w:t>modul</w:t>
      </w:r>
      <w:proofErr w:type="spellEnd"/>
      <w:r w:rsidRPr="000F6E8E">
        <w:rPr>
          <w:rFonts w:ascii="Times" w:hAnsi="Times"/>
          <w:sz w:val="25"/>
          <w:szCs w:val="25"/>
          <w:lang w:val="en-US"/>
        </w:rPr>
        <w:t xml:space="preserve">, as it was stated in previous research that those inputs represents less </w:t>
      </w:r>
      <w:proofErr w:type="spellStart"/>
      <w:r w:rsidRPr="000F6E8E">
        <w:rPr>
          <w:rFonts w:ascii="Times" w:hAnsi="Times"/>
          <w:sz w:val="25"/>
          <w:szCs w:val="25"/>
          <w:lang w:val="en-US"/>
        </w:rPr>
        <w:t>then</w:t>
      </w:r>
      <w:proofErr w:type="spellEnd"/>
      <w:r w:rsidRPr="000F6E8E">
        <w:rPr>
          <w:rFonts w:ascii="Times" w:hAnsi="Times"/>
          <w:sz w:val="25"/>
          <w:szCs w:val="25"/>
          <w:lang w:val="en-US"/>
        </w:rPr>
        <w:t xml:space="preserve"> 2% of the total wei</w:t>
      </w:r>
      <w:r w:rsidRPr="000F6E8E">
        <w:rPr>
          <w:rFonts w:ascii="Times" w:hAnsi="Times"/>
          <w:sz w:val="25"/>
          <w:szCs w:val="25"/>
          <w:lang w:val="en-US"/>
        </w:rPr>
        <w:t xml:space="preserve">ght of the product environmental foot print [9],[11],[8].  </w:t>
      </w:r>
    </w:p>
    <w:p w:rsidR="001C6550" w:rsidRPr="000F6E8E" w:rsidRDefault="001C6550">
      <w:pPr>
        <w:pStyle w:val="Standard"/>
        <w:spacing w:after="240" w:line="300" w:lineRule="atLeast"/>
        <w:rPr>
          <w:rFonts w:ascii="Times" w:eastAsia="Times" w:hAnsi="Times" w:cs="Times"/>
          <w:color w:val="131413"/>
          <w:sz w:val="27"/>
          <w:szCs w:val="27"/>
          <w:lang w:val="en-US"/>
        </w:rPr>
      </w:pPr>
    </w:p>
    <w:p w:rsidR="001C6550" w:rsidRPr="000F6E8E" w:rsidRDefault="001C6550">
      <w:pPr>
        <w:pStyle w:val="Standard"/>
        <w:spacing w:after="240" w:line="300" w:lineRule="atLeast"/>
        <w:jc w:val="both"/>
        <w:rPr>
          <w:rFonts w:ascii="Times" w:eastAsia="Times" w:hAnsi="Times" w:cs="Times"/>
          <w:sz w:val="24"/>
          <w:szCs w:val="24"/>
          <w:lang w:val="en-US"/>
        </w:rPr>
      </w:pPr>
    </w:p>
    <w:p w:rsidR="001C6550" w:rsidRPr="000F6E8E" w:rsidRDefault="001C6550">
      <w:pPr>
        <w:pStyle w:val="Standard"/>
        <w:spacing w:after="240" w:line="300" w:lineRule="atLeast"/>
        <w:jc w:val="both"/>
        <w:rPr>
          <w:rFonts w:ascii="Times" w:eastAsia="Times" w:hAnsi="Times" w:cs="Times"/>
          <w:sz w:val="24"/>
          <w:szCs w:val="24"/>
          <w:lang w:val="en-US"/>
        </w:rPr>
      </w:pPr>
    </w:p>
    <w:p w:rsidR="001C6550" w:rsidRDefault="00E82BBF" w:rsidP="000F6E8E">
      <w:pPr>
        <w:pStyle w:val="Overskrift2"/>
        <w:rPr>
          <w:rFonts w:eastAsia="Times" w:cs="Times"/>
        </w:rPr>
      </w:pPr>
      <w:bookmarkStart w:id="7" w:name="_Toc21372345"/>
      <w:r>
        <w:t>References:</w:t>
      </w:r>
      <w:bookmarkEnd w:id="7"/>
      <w:r>
        <w:t xml:space="preserve"> </w:t>
      </w:r>
    </w:p>
    <w:p w:rsidR="001C6550" w:rsidRPr="000F6E8E" w:rsidRDefault="00E82BBF">
      <w:pPr>
        <w:pStyle w:val="Brdtekst"/>
        <w:rPr>
          <w:rFonts w:ascii="Times New Roman" w:eastAsia="Times New Roman" w:hAnsi="Times New Roman" w:cs="Times New Roman"/>
          <w:sz w:val="24"/>
          <w:szCs w:val="24"/>
          <w:shd w:val="clear" w:color="auto" w:fill="FFFFFF"/>
          <w:lang w:val="en-US"/>
        </w:rPr>
      </w:pPr>
      <w:r>
        <w:rPr>
          <w:rFonts w:ascii="Times New Roman" w:hAnsi="Times New Roman"/>
          <w:sz w:val="24"/>
          <w:szCs w:val="24"/>
          <w:lang w:val="en-US"/>
        </w:rPr>
        <w:t xml:space="preserve">[1] </w:t>
      </w:r>
      <w:r w:rsidRPr="000F6E8E">
        <w:rPr>
          <w:rFonts w:ascii="Times New Roman" w:hAnsi="Times New Roman"/>
          <w:sz w:val="24"/>
          <w:szCs w:val="24"/>
          <w:lang w:val="en-US"/>
        </w:rPr>
        <w:t xml:space="preserve">Life-Cycle Assessment of Energy and Environmental Impacts of LED Lighting Products. February 2012. US Department of Energy. Navigant Consulting Inc.  </w:t>
      </w:r>
    </w:p>
    <w:p w:rsidR="001C6550" w:rsidRPr="000F6E8E" w:rsidRDefault="00E82BBF">
      <w:pPr>
        <w:pStyle w:val="Brdtekst"/>
        <w:rPr>
          <w:rFonts w:ascii="Times New Roman" w:eastAsia="Times New Roman" w:hAnsi="Times New Roman" w:cs="Times New Roman"/>
          <w:sz w:val="24"/>
          <w:szCs w:val="24"/>
          <w:lang w:val="en-US"/>
        </w:rPr>
      </w:pPr>
      <w:r w:rsidRPr="000F6E8E">
        <w:rPr>
          <w:rFonts w:ascii="Times New Roman" w:hAnsi="Times New Roman"/>
          <w:sz w:val="24"/>
          <w:szCs w:val="24"/>
          <w:lang w:val="en-US"/>
        </w:rPr>
        <w:t xml:space="preserve"> </w:t>
      </w:r>
    </w:p>
    <w:p w:rsidR="001C6550" w:rsidRPr="000F6E8E" w:rsidRDefault="00E82BBF">
      <w:pPr>
        <w:pStyle w:val="Brdtekst"/>
        <w:rPr>
          <w:rFonts w:ascii="Times New Roman" w:eastAsia="Times New Roman" w:hAnsi="Times New Roman" w:cs="Times New Roman"/>
          <w:color w:val="FF2F92"/>
          <w:sz w:val="24"/>
          <w:szCs w:val="24"/>
          <w:lang w:val="en-US"/>
        </w:rPr>
      </w:pPr>
      <w:r w:rsidRPr="000F6E8E">
        <w:rPr>
          <w:rFonts w:ascii="Times New Roman" w:hAnsi="Times New Roman"/>
          <w:sz w:val="24"/>
          <w:szCs w:val="24"/>
          <w:lang w:val="en-US"/>
        </w:rPr>
        <w:t xml:space="preserve">[2] Product </w:t>
      </w:r>
      <w:r w:rsidRPr="000F6E8E">
        <w:rPr>
          <w:rFonts w:ascii="Times New Roman" w:hAnsi="Times New Roman"/>
          <w:sz w:val="24"/>
          <w:szCs w:val="24"/>
          <w:lang w:val="en-US"/>
        </w:rPr>
        <w:t xml:space="preserve">family data sheet. </w:t>
      </w:r>
      <w:proofErr w:type="spellStart"/>
      <w:r w:rsidRPr="000F6E8E">
        <w:rPr>
          <w:rFonts w:ascii="Times New Roman" w:hAnsi="Times New Roman"/>
          <w:sz w:val="24"/>
          <w:szCs w:val="24"/>
          <w:lang w:val="en-US"/>
        </w:rPr>
        <w:t>XLamp</w:t>
      </w:r>
      <w:proofErr w:type="spellEnd"/>
      <w:r w:rsidRPr="000F6E8E">
        <w:rPr>
          <w:rFonts w:ascii="Times New Roman" w:hAnsi="Times New Roman"/>
          <w:position w:val="8"/>
          <w:sz w:val="13"/>
          <w:szCs w:val="13"/>
          <w:lang w:val="en-US"/>
        </w:rPr>
        <w:t xml:space="preserve">® </w:t>
      </w:r>
      <w:r w:rsidRPr="000F6E8E">
        <w:rPr>
          <w:rFonts w:ascii="Times New Roman" w:hAnsi="Times New Roman"/>
          <w:sz w:val="24"/>
          <w:szCs w:val="24"/>
          <w:lang w:val="en-US"/>
        </w:rPr>
        <w:t>XP-G3 LEDs</w:t>
      </w:r>
      <w:r w:rsidRPr="000F6E8E">
        <w:rPr>
          <w:rFonts w:ascii="Times New Roman" w:hAnsi="Times New Roman"/>
          <w:color w:val="FF2F92"/>
          <w:sz w:val="24"/>
          <w:szCs w:val="24"/>
          <w:lang w:val="en-US"/>
        </w:rPr>
        <w:t>,</w:t>
      </w:r>
      <w:r w:rsidRPr="000F6E8E">
        <w:rPr>
          <w:rFonts w:ascii="Times New Roman" w:hAnsi="Times New Roman"/>
          <w:sz w:val="24"/>
          <w:szCs w:val="24"/>
          <w:lang w:val="en-US"/>
        </w:rPr>
        <w:t xml:space="preserve"> retrieved from www.cree.com </w:t>
      </w:r>
    </w:p>
    <w:p w:rsidR="001C6550" w:rsidRDefault="001C6550">
      <w:pPr>
        <w:pStyle w:val="Brdtekst"/>
        <w:rPr>
          <w:rFonts w:ascii="Times New Roman" w:eastAsia="Times New Roman" w:hAnsi="Times New Roman" w:cs="Times New Roman"/>
          <w:sz w:val="24"/>
          <w:szCs w:val="24"/>
          <w:lang w:val="en-US"/>
        </w:rPr>
      </w:pPr>
    </w:p>
    <w:p w:rsidR="001C6550" w:rsidRDefault="00E82BBF">
      <w:pPr>
        <w:pStyle w:val="Brdtekst"/>
        <w:rPr>
          <w:rFonts w:ascii="Times New Roman" w:eastAsia="Times New Roman" w:hAnsi="Times New Roman" w:cs="Times New Roman"/>
          <w:sz w:val="24"/>
          <w:szCs w:val="24"/>
          <w:lang w:val="en-US"/>
        </w:rPr>
      </w:pPr>
      <w:r>
        <w:rPr>
          <w:rFonts w:ascii="Times New Roman" w:hAnsi="Times New Roman"/>
          <w:sz w:val="24"/>
          <w:szCs w:val="24"/>
          <w:lang w:val="en-US"/>
        </w:rPr>
        <w:t xml:space="preserve">[3]. </w:t>
      </w:r>
      <w:hyperlink r:id="rId9" w:history="1">
        <w:r w:rsidRPr="000F6E8E">
          <w:rPr>
            <w:rStyle w:val="Hyperlink0"/>
            <w:rFonts w:ascii="Times New Roman" w:hAnsi="Times New Roman"/>
            <w:sz w:val="24"/>
            <w:szCs w:val="24"/>
            <w:lang w:val="en-US"/>
          </w:rPr>
          <w:t>https://glamox.com/gmo/led-and-lifetime</w:t>
        </w:r>
      </w:hyperlink>
    </w:p>
    <w:p w:rsidR="001C6550" w:rsidRDefault="001C6550">
      <w:pPr>
        <w:pStyle w:val="Brdtekst"/>
        <w:rPr>
          <w:rFonts w:ascii="Times New Roman" w:eastAsia="Times New Roman" w:hAnsi="Times New Roman" w:cs="Times New Roman"/>
          <w:sz w:val="24"/>
          <w:szCs w:val="24"/>
          <w:lang w:val="en-US"/>
        </w:rPr>
      </w:pPr>
    </w:p>
    <w:p w:rsidR="001C6550" w:rsidRDefault="00E82BBF">
      <w:pPr>
        <w:pStyle w:val="Brdtekst"/>
        <w:rPr>
          <w:rFonts w:ascii="Times New Roman" w:eastAsia="Times New Roman" w:hAnsi="Times New Roman" w:cs="Times New Roman"/>
          <w:sz w:val="24"/>
          <w:szCs w:val="24"/>
          <w:lang w:val="en-US"/>
        </w:rPr>
      </w:pPr>
      <w:r>
        <w:rPr>
          <w:rFonts w:ascii="Times New Roman" w:hAnsi="Times New Roman"/>
          <w:sz w:val="24"/>
          <w:szCs w:val="24"/>
          <w:lang w:val="en-US"/>
        </w:rPr>
        <w:t xml:space="preserve">[4] </w:t>
      </w:r>
      <w:hyperlink r:id="rId10" w:history="1">
        <w:r w:rsidRPr="000F6E8E">
          <w:rPr>
            <w:rStyle w:val="Hyperlink0"/>
            <w:rFonts w:ascii="Times New Roman" w:hAnsi="Times New Roman"/>
            <w:sz w:val="24"/>
            <w:szCs w:val="24"/>
            <w:lang w:val="en-US"/>
          </w:rPr>
          <w:t>http://www.excellentsolars.com/products/solar-street-lighting-system/</w:t>
        </w:r>
      </w:hyperlink>
    </w:p>
    <w:p w:rsidR="001C6550" w:rsidRDefault="001C6550">
      <w:pPr>
        <w:pStyle w:val="Brdtekst"/>
        <w:rPr>
          <w:rFonts w:ascii="Times New Roman" w:eastAsia="Times New Roman" w:hAnsi="Times New Roman" w:cs="Times New Roman"/>
          <w:sz w:val="24"/>
          <w:szCs w:val="24"/>
          <w:lang w:val="en-US"/>
        </w:rPr>
      </w:pPr>
    </w:p>
    <w:p w:rsidR="001C6550" w:rsidRPr="000F6E8E" w:rsidRDefault="00E82BBF">
      <w:pPr>
        <w:pStyle w:val="Brdtekst"/>
        <w:rPr>
          <w:rFonts w:ascii="Times New Roman" w:eastAsia="Times New Roman" w:hAnsi="Times New Roman" w:cs="Times New Roman"/>
          <w:sz w:val="24"/>
          <w:szCs w:val="24"/>
          <w:lang w:val="en-US"/>
        </w:rPr>
      </w:pPr>
      <w:r>
        <w:rPr>
          <w:rFonts w:ascii="Times New Roman" w:hAnsi="Times New Roman"/>
          <w:sz w:val="24"/>
          <w:szCs w:val="24"/>
          <w:lang w:val="en-US"/>
        </w:rPr>
        <w:t xml:space="preserve">[5] </w:t>
      </w:r>
      <w:r w:rsidRPr="000F6E8E">
        <w:rPr>
          <w:rFonts w:ascii="Times New Roman" w:hAnsi="Times New Roman"/>
          <w:sz w:val="24"/>
          <w:szCs w:val="24"/>
          <w:lang w:val="en-US"/>
        </w:rPr>
        <w:t xml:space="preserve">S. </w:t>
      </w:r>
      <w:proofErr w:type="spellStart"/>
      <w:r w:rsidRPr="000F6E8E">
        <w:rPr>
          <w:rFonts w:ascii="Times New Roman" w:hAnsi="Times New Roman"/>
          <w:sz w:val="24"/>
          <w:szCs w:val="24"/>
          <w:lang w:val="en-US"/>
        </w:rPr>
        <w:t>Tannous</w:t>
      </w:r>
      <w:proofErr w:type="spellEnd"/>
      <w:r w:rsidRPr="000F6E8E">
        <w:rPr>
          <w:rFonts w:ascii="Times New Roman" w:hAnsi="Times New Roman"/>
          <w:sz w:val="24"/>
          <w:szCs w:val="24"/>
          <w:lang w:val="en-US"/>
        </w:rPr>
        <w:t xml:space="preserve"> et al. "Comparative cradle-to-grave life cycle assessment of traditional grid- connec</w:t>
      </w:r>
      <w:r w:rsidRPr="000F6E8E">
        <w:rPr>
          <w:rFonts w:ascii="Times New Roman" w:hAnsi="Times New Roman"/>
          <w:sz w:val="24"/>
          <w:szCs w:val="24"/>
          <w:lang w:val="en-US"/>
        </w:rPr>
        <w:t>ted and solar stand-alone street light systems: A case study for rural areas in Lebanon</w:t>
      </w:r>
      <w:r w:rsidRPr="000F6E8E">
        <w:rPr>
          <w:rFonts w:ascii="Times New Roman" w:hAnsi="Times New Roman"/>
          <w:sz w:val="24"/>
          <w:szCs w:val="24"/>
          <w:lang w:val="en-US"/>
        </w:rPr>
        <w:t>”</w:t>
      </w:r>
      <w:r w:rsidRPr="000F6E8E">
        <w:rPr>
          <w:rFonts w:ascii="Times New Roman" w:hAnsi="Times New Roman"/>
          <w:sz w:val="24"/>
          <w:szCs w:val="24"/>
          <w:lang w:val="en-US"/>
        </w:rPr>
        <w:t xml:space="preserve">. </w:t>
      </w:r>
    </w:p>
    <w:p w:rsidR="001C6550" w:rsidRPr="000F6E8E" w:rsidRDefault="00E82BBF">
      <w:pPr>
        <w:pStyle w:val="Brdtekst"/>
        <w:rPr>
          <w:rFonts w:ascii="Times New Roman" w:eastAsia="Times New Roman" w:hAnsi="Times New Roman" w:cs="Times New Roman"/>
          <w:sz w:val="24"/>
          <w:szCs w:val="24"/>
          <w:lang w:val="en-US"/>
        </w:rPr>
      </w:pPr>
      <w:r w:rsidRPr="000F6E8E">
        <w:rPr>
          <w:rFonts w:ascii="Times New Roman" w:hAnsi="Times New Roman"/>
          <w:sz w:val="24"/>
          <w:szCs w:val="24"/>
          <w:lang w:val="en-US"/>
        </w:rPr>
        <w:t xml:space="preserve">Journal of Cleaner Production 186 (2018). https://doi.org/10.1016/j.jclepro.2018.03.155 </w:t>
      </w:r>
    </w:p>
    <w:p w:rsidR="001C6550" w:rsidRPr="000F6E8E" w:rsidRDefault="00E82BBF">
      <w:pPr>
        <w:pStyle w:val="Brdtekst"/>
        <w:rPr>
          <w:rFonts w:ascii="Times New Roman" w:eastAsia="Times New Roman" w:hAnsi="Times New Roman" w:cs="Times New Roman"/>
          <w:sz w:val="24"/>
          <w:szCs w:val="24"/>
          <w:lang w:val="en-US"/>
        </w:rPr>
      </w:pPr>
      <w:r w:rsidRPr="000F6E8E">
        <w:rPr>
          <w:rFonts w:ascii="Times New Roman" w:hAnsi="Times New Roman"/>
          <w:sz w:val="24"/>
          <w:szCs w:val="24"/>
          <w:lang w:val="en-US"/>
        </w:rPr>
        <w:t xml:space="preserve"> </w:t>
      </w:r>
    </w:p>
    <w:p w:rsidR="001C6550" w:rsidRPr="000F6E8E" w:rsidRDefault="00E82BBF">
      <w:pPr>
        <w:pStyle w:val="Brdtekst"/>
        <w:rPr>
          <w:rFonts w:ascii="Times New Roman" w:eastAsia="Times New Roman" w:hAnsi="Times New Roman" w:cs="Times New Roman"/>
          <w:color w:val="212121"/>
          <w:sz w:val="24"/>
          <w:szCs w:val="24"/>
          <w:lang w:val="en-US"/>
        </w:rPr>
      </w:pPr>
      <w:r w:rsidRPr="000F6E8E">
        <w:rPr>
          <w:rFonts w:ascii="Times New Roman" w:hAnsi="Times New Roman"/>
          <w:sz w:val="24"/>
          <w:szCs w:val="24"/>
          <w:lang w:val="en-US"/>
        </w:rPr>
        <w:t xml:space="preserve">[6] </w:t>
      </w:r>
      <w:proofErr w:type="spellStart"/>
      <w:r w:rsidRPr="000F6E8E">
        <w:rPr>
          <w:rFonts w:ascii="Times New Roman" w:hAnsi="Times New Roman"/>
          <w:sz w:val="24"/>
          <w:szCs w:val="24"/>
          <w:lang w:val="en-US"/>
        </w:rPr>
        <w:t>Asima</w:t>
      </w:r>
      <w:proofErr w:type="spellEnd"/>
      <w:r w:rsidRPr="000F6E8E">
        <w:rPr>
          <w:rFonts w:ascii="Times New Roman" w:hAnsi="Times New Roman"/>
          <w:sz w:val="24"/>
          <w:szCs w:val="24"/>
          <w:lang w:val="en-US"/>
        </w:rPr>
        <w:t xml:space="preserve"> Sun data sheet</w:t>
      </w:r>
      <w:r w:rsidRPr="000F6E8E">
        <w:rPr>
          <w:rFonts w:ascii="Times New Roman" w:hAnsi="Times New Roman"/>
          <w:color w:val="212121"/>
          <w:sz w:val="24"/>
          <w:szCs w:val="24"/>
          <w:lang w:val="en-US"/>
        </w:rPr>
        <w:t>. retrieved from www.</w:t>
      </w:r>
      <w:hyperlink r:id="rId11" w:history="1">
        <w:r w:rsidRPr="000F6E8E">
          <w:rPr>
            <w:rStyle w:val="Hyperlink1"/>
            <w:rFonts w:ascii="Times New Roman" w:hAnsi="Times New Roman"/>
            <w:sz w:val="24"/>
            <w:szCs w:val="24"/>
            <w:lang w:val="en-US"/>
          </w:rPr>
          <w:t>suncil.com</w:t>
        </w:r>
      </w:hyperlink>
      <w:r w:rsidRPr="000F6E8E">
        <w:rPr>
          <w:rFonts w:ascii="Times New Roman" w:hAnsi="Times New Roman"/>
          <w:color w:val="212121"/>
          <w:sz w:val="24"/>
          <w:szCs w:val="24"/>
          <w:lang w:val="en-US"/>
        </w:rPr>
        <w:t xml:space="preserve">. </w:t>
      </w:r>
    </w:p>
    <w:p w:rsidR="001C6550" w:rsidRPr="000F6E8E" w:rsidRDefault="001C6550">
      <w:pPr>
        <w:pStyle w:val="Brdtekst"/>
        <w:rPr>
          <w:rFonts w:ascii="Times New Roman" w:eastAsia="Times New Roman" w:hAnsi="Times New Roman" w:cs="Times New Roman"/>
          <w:sz w:val="24"/>
          <w:szCs w:val="24"/>
          <w:lang w:val="en-US"/>
        </w:rPr>
      </w:pPr>
    </w:p>
    <w:p w:rsidR="001C6550" w:rsidRPr="000F6E8E" w:rsidRDefault="00E82BBF">
      <w:pPr>
        <w:pStyle w:val="Brdtekst"/>
        <w:rPr>
          <w:rFonts w:ascii="Times" w:eastAsia="Times" w:hAnsi="Times" w:cs="Times"/>
          <w:sz w:val="24"/>
          <w:szCs w:val="24"/>
          <w:shd w:val="clear" w:color="auto" w:fill="FFFFFF"/>
          <w:lang w:val="en-US"/>
        </w:rPr>
      </w:pPr>
      <w:r w:rsidRPr="000F6E8E">
        <w:rPr>
          <w:rFonts w:ascii="Times New Roman" w:hAnsi="Times New Roman"/>
          <w:sz w:val="24"/>
          <w:szCs w:val="24"/>
          <w:lang w:val="en-US"/>
        </w:rPr>
        <w:t>[7]</w:t>
      </w:r>
      <w:r w:rsidRPr="000F6E8E">
        <w:rPr>
          <w:rFonts w:ascii="Times New Roman" w:hAnsi="Times New Roman"/>
          <w:color w:val="FF2F92"/>
          <w:sz w:val="24"/>
          <w:szCs w:val="24"/>
          <w:lang w:val="en-US"/>
        </w:rPr>
        <w:t xml:space="preserve"> </w:t>
      </w:r>
      <w:r w:rsidRPr="000F6E8E">
        <w:rPr>
          <w:rFonts w:ascii="Times New Roman" w:hAnsi="Times New Roman"/>
          <w:sz w:val="24"/>
          <w:szCs w:val="24"/>
          <w:lang w:val="en-US"/>
        </w:rPr>
        <w:t xml:space="preserve">Life Cycle Assessment of Ultra-Efficient Lamps. May 2009. Navigant consulting Europe Ltd.  </w:t>
      </w:r>
    </w:p>
    <w:p w:rsidR="001C6550" w:rsidRPr="000F6E8E" w:rsidRDefault="00E82BBF">
      <w:pPr>
        <w:pStyle w:val="Brdtekst"/>
        <w:rPr>
          <w:rFonts w:ascii="Times New Roman" w:eastAsia="Times New Roman" w:hAnsi="Times New Roman" w:cs="Times New Roman"/>
          <w:sz w:val="24"/>
          <w:szCs w:val="24"/>
          <w:lang w:val="en-US"/>
        </w:rPr>
      </w:pPr>
      <w:r w:rsidRPr="000F6E8E">
        <w:rPr>
          <w:rFonts w:ascii="Times New Roman" w:hAnsi="Times New Roman"/>
          <w:sz w:val="24"/>
          <w:szCs w:val="24"/>
          <w:lang w:val="en-US"/>
        </w:rPr>
        <w:t xml:space="preserve"> </w:t>
      </w:r>
    </w:p>
    <w:p w:rsidR="001C6550" w:rsidRPr="000F6E8E" w:rsidRDefault="00E82BBF">
      <w:pPr>
        <w:pStyle w:val="Brdtekst"/>
        <w:rPr>
          <w:rFonts w:ascii="Times New Roman" w:eastAsia="Times New Roman" w:hAnsi="Times New Roman" w:cs="Times New Roman"/>
          <w:sz w:val="24"/>
          <w:szCs w:val="24"/>
          <w:lang w:val="en-US"/>
        </w:rPr>
      </w:pPr>
      <w:r w:rsidRPr="000F6E8E">
        <w:rPr>
          <w:rFonts w:ascii="Times New Roman" w:hAnsi="Times New Roman"/>
          <w:sz w:val="24"/>
          <w:szCs w:val="24"/>
          <w:lang w:val="en-US"/>
        </w:rPr>
        <w:t xml:space="preserve">[8] Sabina Abdul </w:t>
      </w:r>
      <w:proofErr w:type="spellStart"/>
      <w:r w:rsidRPr="000F6E8E">
        <w:rPr>
          <w:rFonts w:ascii="Times New Roman" w:hAnsi="Times New Roman"/>
          <w:sz w:val="24"/>
          <w:szCs w:val="24"/>
          <w:lang w:val="en-US"/>
        </w:rPr>
        <w:t>Hadi</w:t>
      </w:r>
      <w:proofErr w:type="spellEnd"/>
      <w:r w:rsidRPr="000F6E8E">
        <w:rPr>
          <w:rFonts w:ascii="Times New Roman" w:hAnsi="Times New Roman"/>
          <w:sz w:val="24"/>
          <w:szCs w:val="24"/>
          <w:lang w:val="en-US"/>
        </w:rPr>
        <w:t xml:space="preserve">, </w:t>
      </w:r>
      <w:proofErr w:type="spellStart"/>
      <w:r w:rsidRPr="000F6E8E">
        <w:rPr>
          <w:rFonts w:ascii="Times New Roman" w:hAnsi="Times New Roman"/>
          <w:sz w:val="24"/>
          <w:szCs w:val="24"/>
          <w:lang w:val="en-US"/>
        </w:rPr>
        <w:t>Muna</w:t>
      </w:r>
      <w:proofErr w:type="spellEnd"/>
      <w:r w:rsidRPr="000F6E8E">
        <w:rPr>
          <w:rFonts w:ascii="Times New Roman" w:hAnsi="Times New Roman"/>
          <w:sz w:val="24"/>
          <w:szCs w:val="24"/>
          <w:lang w:val="en-US"/>
        </w:rPr>
        <w:t xml:space="preserve"> R. Al </w:t>
      </w:r>
      <w:proofErr w:type="spellStart"/>
      <w:r w:rsidRPr="000F6E8E">
        <w:rPr>
          <w:rFonts w:ascii="Times New Roman" w:hAnsi="Times New Roman"/>
          <w:sz w:val="24"/>
          <w:szCs w:val="24"/>
          <w:lang w:val="en-US"/>
        </w:rPr>
        <w:t>Kaabi</w:t>
      </w:r>
      <w:proofErr w:type="spellEnd"/>
      <w:r w:rsidRPr="000F6E8E">
        <w:rPr>
          <w:rFonts w:ascii="Times New Roman" w:hAnsi="Times New Roman"/>
          <w:sz w:val="24"/>
          <w:szCs w:val="24"/>
          <w:lang w:val="en-US"/>
        </w:rPr>
        <w:t xml:space="preserve">, </w:t>
      </w:r>
      <w:proofErr w:type="spellStart"/>
      <w:r w:rsidRPr="000F6E8E">
        <w:rPr>
          <w:rFonts w:ascii="Times New Roman" w:hAnsi="Times New Roman"/>
          <w:sz w:val="24"/>
          <w:szCs w:val="24"/>
          <w:lang w:val="en-US"/>
        </w:rPr>
        <w:t>Meshayel</w:t>
      </w:r>
      <w:proofErr w:type="spellEnd"/>
      <w:r w:rsidRPr="000F6E8E">
        <w:rPr>
          <w:rFonts w:ascii="Times New Roman" w:hAnsi="Times New Roman"/>
          <w:sz w:val="24"/>
          <w:szCs w:val="24"/>
          <w:lang w:val="en-US"/>
        </w:rPr>
        <w:t xml:space="preserve"> O. Al Ali, Hassan A. Arafat: Comparative Life Cycle Assessmen</w:t>
      </w:r>
      <w:r w:rsidRPr="000F6E8E">
        <w:rPr>
          <w:rFonts w:ascii="Times New Roman" w:hAnsi="Times New Roman"/>
          <w:sz w:val="24"/>
          <w:szCs w:val="24"/>
          <w:lang w:val="en-US"/>
        </w:rPr>
        <w:t xml:space="preserve">t (LCA) of streetlight technologies for minor roads in United Arab Emirates.  </w:t>
      </w:r>
      <w:r>
        <w:rPr>
          <w:rFonts w:ascii="Times New Roman" w:hAnsi="Times New Roman"/>
          <w:sz w:val="24"/>
          <w:szCs w:val="24"/>
          <w:lang w:val="en-US"/>
        </w:rPr>
        <w:t>Energy for Sustainable Development 17 (2013) 438</w:t>
      </w:r>
      <w:r w:rsidRPr="000F6E8E">
        <w:rPr>
          <w:rFonts w:ascii="Times New Roman" w:hAnsi="Times New Roman"/>
          <w:sz w:val="24"/>
          <w:szCs w:val="24"/>
          <w:lang w:val="en-US"/>
        </w:rPr>
        <w:t>–</w:t>
      </w:r>
      <w:r w:rsidRPr="000F6E8E">
        <w:rPr>
          <w:rFonts w:ascii="Times New Roman" w:hAnsi="Times New Roman"/>
          <w:sz w:val="24"/>
          <w:szCs w:val="24"/>
          <w:lang w:val="en-US"/>
        </w:rPr>
        <w:t xml:space="preserve">450 </w:t>
      </w:r>
      <w:r w:rsidRPr="000F6E8E">
        <w:rPr>
          <w:rFonts w:ascii="Times New Roman" w:hAnsi="Times New Roman"/>
          <w:color w:val="0000FF"/>
          <w:sz w:val="24"/>
          <w:szCs w:val="24"/>
          <w:lang w:val="en-US"/>
        </w:rPr>
        <w:t xml:space="preserve"> </w:t>
      </w:r>
      <w:hyperlink r:id="rId12" w:history="1">
        <w:r w:rsidRPr="000F6E8E">
          <w:rPr>
            <w:rStyle w:val="Hyperlink0"/>
            <w:rFonts w:ascii="Times New Roman" w:hAnsi="Times New Roman"/>
            <w:sz w:val="24"/>
            <w:szCs w:val="24"/>
            <w:lang w:val="en-US"/>
          </w:rPr>
          <w:t>http://dx.doi.org/10.1016/j.esd.2013.05.001</w:t>
        </w:r>
      </w:hyperlink>
    </w:p>
    <w:p w:rsidR="001C6550" w:rsidRDefault="001C6550">
      <w:pPr>
        <w:pStyle w:val="Brdtekst"/>
        <w:rPr>
          <w:rFonts w:ascii="Times New Roman" w:eastAsia="Times New Roman" w:hAnsi="Times New Roman" w:cs="Times New Roman"/>
          <w:sz w:val="24"/>
          <w:szCs w:val="24"/>
          <w:lang w:val="en-US"/>
        </w:rPr>
      </w:pPr>
    </w:p>
    <w:p w:rsidR="001C6550" w:rsidRPr="000F6E8E" w:rsidRDefault="00E82BBF">
      <w:pPr>
        <w:pStyle w:val="Brdtekst"/>
        <w:rPr>
          <w:rFonts w:ascii="Times New Roman" w:eastAsia="Times New Roman" w:hAnsi="Times New Roman" w:cs="Times New Roman"/>
          <w:sz w:val="24"/>
          <w:szCs w:val="24"/>
          <w:lang w:val="en-US"/>
        </w:rPr>
      </w:pPr>
      <w:r>
        <w:rPr>
          <w:rFonts w:ascii="Times New Roman" w:hAnsi="Times New Roman"/>
          <w:sz w:val="24"/>
          <w:szCs w:val="24"/>
          <w:lang w:val="en-US"/>
        </w:rPr>
        <w:t xml:space="preserve">[9] Leena </w:t>
      </w:r>
      <w:proofErr w:type="spellStart"/>
      <w:r>
        <w:rPr>
          <w:rFonts w:ascii="Times New Roman" w:hAnsi="Times New Roman"/>
          <w:sz w:val="24"/>
          <w:szCs w:val="24"/>
          <w:lang w:val="en-US"/>
        </w:rPr>
        <w:t>T</w:t>
      </w:r>
      <w:r>
        <w:rPr>
          <w:rFonts w:ascii="Times New Roman" w:hAnsi="Times New Roman"/>
          <w:sz w:val="24"/>
          <w:szCs w:val="24"/>
          <w:lang w:val="en-US"/>
        </w:rPr>
        <w:t>å</w:t>
      </w:r>
      <w:r>
        <w:rPr>
          <w:rFonts w:ascii="Times New Roman" w:hAnsi="Times New Roman"/>
          <w:sz w:val="24"/>
          <w:szCs w:val="24"/>
          <w:lang w:val="en-US"/>
        </w:rPr>
        <w:t>hk</w:t>
      </w:r>
      <w:r>
        <w:rPr>
          <w:rFonts w:ascii="Times New Roman" w:hAnsi="Times New Roman"/>
          <w:sz w:val="24"/>
          <w:szCs w:val="24"/>
          <w:lang w:val="en-US"/>
        </w:rPr>
        <w:t>å</w:t>
      </w:r>
      <w:r>
        <w:rPr>
          <w:rFonts w:ascii="Times New Roman" w:hAnsi="Times New Roman"/>
          <w:sz w:val="24"/>
          <w:szCs w:val="24"/>
          <w:lang w:val="en-US"/>
        </w:rPr>
        <w:t>m</w:t>
      </w:r>
      <w:r>
        <w:rPr>
          <w:rFonts w:ascii="Times New Roman" w:hAnsi="Times New Roman"/>
          <w:sz w:val="24"/>
          <w:szCs w:val="24"/>
          <w:lang w:val="en-US"/>
        </w:rPr>
        <w:t>å</w:t>
      </w:r>
      <w:proofErr w:type="spellEnd"/>
      <w:r>
        <w:rPr>
          <w:rFonts w:ascii="Times New Roman" w:hAnsi="Times New Roman"/>
          <w:sz w:val="24"/>
          <w:szCs w:val="24"/>
          <w:lang w:val="en-US"/>
        </w:rPr>
        <w:t xml:space="preserve">, Manuel </w:t>
      </w:r>
      <w:proofErr w:type="spellStart"/>
      <w:r>
        <w:rPr>
          <w:rFonts w:ascii="Times New Roman" w:hAnsi="Times New Roman"/>
          <w:sz w:val="24"/>
          <w:szCs w:val="24"/>
          <w:lang w:val="en-US"/>
        </w:rPr>
        <w:t>Bazzana</w:t>
      </w:r>
      <w:proofErr w:type="spellEnd"/>
      <w:r>
        <w:rPr>
          <w:rFonts w:ascii="Times New Roman" w:hAnsi="Times New Roman"/>
          <w:sz w:val="24"/>
          <w:szCs w:val="24"/>
          <w:lang w:val="en-US"/>
        </w:rPr>
        <w:t xml:space="preserve">, Pierre Ravel, Francis </w:t>
      </w:r>
      <w:proofErr w:type="spellStart"/>
      <w:proofErr w:type="gramStart"/>
      <w:r>
        <w:rPr>
          <w:rFonts w:ascii="Times New Roman" w:hAnsi="Times New Roman"/>
          <w:sz w:val="24"/>
          <w:szCs w:val="24"/>
          <w:lang w:val="en-US"/>
        </w:rPr>
        <w:t>Grannec</w:t>
      </w:r>
      <w:proofErr w:type="spellEnd"/>
      <w:r>
        <w:rPr>
          <w:rFonts w:ascii="Times New Roman" w:hAnsi="Times New Roman"/>
          <w:sz w:val="24"/>
          <w:szCs w:val="24"/>
          <w:lang w:val="en-US"/>
        </w:rPr>
        <w:t>,  Christophe</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Martinsons</w:t>
      </w:r>
      <w:proofErr w:type="spellEnd"/>
      <w:r>
        <w:rPr>
          <w:rFonts w:ascii="Times New Roman" w:hAnsi="Times New Roman"/>
          <w:sz w:val="24"/>
          <w:szCs w:val="24"/>
          <w:lang w:val="en-US"/>
        </w:rPr>
        <w:t>, Georges Zissis: Life cycle assessment of light-emitting diode downlight luminaire</w:t>
      </w:r>
      <w:r>
        <w:rPr>
          <w:rFonts w:ascii="Times New Roman" w:hAnsi="Times New Roman"/>
          <w:sz w:val="24"/>
          <w:szCs w:val="24"/>
          <w:lang w:val="en-US"/>
        </w:rPr>
        <w:t>—</w:t>
      </w:r>
      <w:r>
        <w:rPr>
          <w:rFonts w:ascii="Times New Roman" w:hAnsi="Times New Roman"/>
          <w:sz w:val="24"/>
          <w:szCs w:val="24"/>
          <w:lang w:val="en-US"/>
        </w:rPr>
        <w:t>a case study. Int J Life Cycle Asses</w:t>
      </w:r>
      <w:r>
        <w:rPr>
          <w:rFonts w:ascii="Times New Roman" w:hAnsi="Times New Roman"/>
          <w:sz w:val="24"/>
          <w:szCs w:val="24"/>
          <w:lang w:val="en-US"/>
        </w:rPr>
        <w:t>s (2013) 18:1009</w:t>
      </w:r>
      <w:r>
        <w:rPr>
          <w:rFonts w:ascii="Times New Roman" w:hAnsi="Times New Roman"/>
          <w:sz w:val="24"/>
          <w:szCs w:val="24"/>
          <w:lang w:val="en-US"/>
        </w:rPr>
        <w:t>–</w:t>
      </w:r>
      <w:r>
        <w:rPr>
          <w:rFonts w:ascii="Times New Roman" w:hAnsi="Times New Roman"/>
          <w:sz w:val="24"/>
          <w:szCs w:val="24"/>
          <w:lang w:val="en-US"/>
        </w:rPr>
        <w:t>1018. Published online: 9 January 2013. DOI 10.1007/s11367-012-0542-4</w:t>
      </w:r>
    </w:p>
    <w:p w:rsidR="001C6550" w:rsidRPr="000F6E8E" w:rsidRDefault="001C6550">
      <w:pPr>
        <w:pStyle w:val="Brdtekst"/>
        <w:rPr>
          <w:rFonts w:ascii="Times New Roman" w:eastAsia="Times New Roman" w:hAnsi="Times New Roman" w:cs="Times New Roman"/>
          <w:b/>
          <w:bCs/>
          <w:sz w:val="24"/>
          <w:szCs w:val="24"/>
          <w:lang w:val="en-US"/>
        </w:rPr>
      </w:pPr>
    </w:p>
    <w:p w:rsidR="001C6550" w:rsidRPr="000F6E8E" w:rsidRDefault="00E82BBF">
      <w:pPr>
        <w:pStyle w:val="Brdtekst"/>
        <w:rPr>
          <w:rFonts w:ascii="Times New Roman" w:eastAsia="Times New Roman" w:hAnsi="Times New Roman" w:cs="Times New Roman"/>
          <w:sz w:val="24"/>
          <w:szCs w:val="24"/>
          <w:lang w:val="en-US"/>
        </w:rPr>
      </w:pPr>
      <w:r w:rsidRPr="000F6E8E">
        <w:rPr>
          <w:rFonts w:ascii="Times New Roman" w:hAnsi="Times New Roman"/>
          <w:sz w:val="24"/>
          <w:szCs w:val="24"/>
          <w:lang w:val="en-US"/>
        </w:rPr>
        <w:t xml:space="preserve">[10] </w:t>
      </w:r>
      <w:hyperlink r:id="rId13" w:history="1">
        <w:r w:rsidRPr="000F6E8E">
          <w:rPr>
            <w:rStyle w:val="Hyperlink0"/>
            <w:rFonts w:ascii="Times New Roman" w:hAnsi="Times New Roman"/>
            <w:sz w:val="24"/>
            <w:szCs w:val="24"/>
            <w:lang w:val="en-US"/>
          </w:rPr>
          <w:t>https://dakofa.com/element/landfilling-in-denmark/</w:t>
        </w:r>
      </w:hyperlink>
    </w:p>
    <w:p w:rsidR="001C6550" w:rsidRPr="000F6E8E" w:rsidRDefault="001C6550">
      <w:pPr>
        <w:pStyle w:val="Brdtekst"/>
        <w:rPr>
          <w:rFonts w:ascii="Times New Roman" w:eastAsia="Times New Roman" w:hAnsi="Times New Roman" w:cs="Times New Roman"/>
          <w:sz w:val="24"/>
          <w:szCs w:val="24"/>
          <w:lang w:val="en-US"/>
        </w:rPr>
      </w:pPr>
    </w:p>
    <w:p w:rsidR="001C6550" w:rsidRPr="000F6E8E" w:rsidRDefault="00E82BBF">
      <w:pPr>
        <w:pStyle w:val="Standard"/>
        <w:spacing w:after="240" w:line="300" w:lineRule="atLeast"/>
        <w:jc w:val="both"/>
        <w:rPr>
          <w:rFonts w:ascii="Times" w:eastAsia="Times" w:hAnsi="Times" w:cs="Times"/>
          <w:sz w:val="24"/>
          <w:szCs w:val="24"/>
          <w:lang w:val="en-US"/>
        </w:rPr>
      </w:pPr>
      <w:r w:rsidRPr="000F6E8E">
        <w:rPr>
          <w:rFonts w:ascii="Times" w:hAnsi="Times"/>
          <w:sz w:val="24"/>
          <w:szCs w:val="24"/>
          <w:lang w:val="en-US"/>
        </w:rPr>
        <w:t xml:space="preserve">[11] Hendrickson, C. T. (2010). Reducing environmental burdens of solid-state lighting through end- of-life design. </w:t>
      </w:r>
      <w:r w:rsidRPr="000F6E8E">
        <w:rPr>
          <w:rFonts w:ascii="Times" w:hAnsi="Times"/>
          <w:i/>
          <w:iCs/>
          <w:sz w:val="24"/>
          <w:szCs w:val="24"/>
          <w:lang w:val="en-US"/>
        </w:rPr>
        <w:t xml:space="preserve">Environmental Research Letters. </w:t>
      </w:r>
      <w:r w:rsidRPr="000F6E8E">
        <w:rPr>
          <w:rFonts w:ascii="Times" w:hAnsi="Times"/>
          <w:sz w:val="24"/>
          <w:szCs w:val="24"/>
          <w:lang w:val="en-US"/>
        </w:rPr>
        <w:t xml:space="preserve">available online at: </w:t>
      </w:r>
      <w:hyperlink r:id="rId14" w:history="1">
        <w:r w:rsidRPr="000F6E8E">
          <w:rPr>
            <w:rStyle w:val="Hyperlink0"/>
            <w:rFonts w:ascii="Times" w:hAnsi="Times"/>
            <w:sz w:val="24"/>
            <w:szCs w:val="24"/>
            <w:lang w:val="en-US"/>
          </w:rPr>
          <w:t>https:</w:t>
        </w:r>
        <w:r w:rsidRPr="000F6E8E">
          <w:rPr>
            <w:rStyle w:val="Hyperlink0"/>
            <w:rFonts w:ascii="Times" w:hAnsi="Times"/>
            <w:sz w:val="24"/>
            <w:szCs w:val="24"/>
            <w:lang w:val="en-US"/>
          </w:rPr>
          <w:t>//iopscience.iop.org/article/10.1088/1748-9326/5/1/014016/meta</w:t>
        </w:r>
      </w:hyperlink>
      <w:r w:rsidRPr="000F6E8E">
        <w:rPr>
          <w:rFonts w:ascii="Times" w:hAnsi="Times"/>
          <w:sz w:val="24"/>
          <w:szCs w:val="24"/>
          <w:lang w:val="en-US"/>
        </w:rPr>
        <w:t xml:space="preserve">. </w:t>
      </w:r>
    </w:p>
    <w:p w:rsidR="001C6550" w:rsidRDefault="00E82BBF">
      <w:pPr>
        <w:pStyle w:val="Standard"/>
        <w:spacing w:after="240" w:line="300" w:lineRule="atLeast"/>
        <w:jc w:val="both"/>
        <w:rPr>
          <w:rFonts w:ascii="Times" w:eastAsia="Times" w:hAnsi="Times" w:cs="Times"/>
          <w:sz w:val="24"/>
          <w:szCs w:val="24"/>
        </w:rPr>
      </w:pPr>
      <w:r w:rsidRPr="000F6E8E">
        <w:rPr>
          <w:rFonts w:ascii="Times" w:hAnsi="Times"/>
          <w:sz w:val="24"/>
          <w:szCs w:val="24"/>
          <w:lang w:val="en-US"/>
        </w:rPr>
        <w:t xml:space="preserve">[12] </w:t>
      </w:r>
      <w:hyperlink r:id="rId15" w:history="1">
        <w:r w:rsidRPr="000F6E8E">
          <w:rPr>
            <w:rStyle w:val="Hyperlink2"/>
            <w:rFonts w:ascii="Times" w:hAnsi="Times"/>
            <w:sz w:val="24"/>
            <w:szCs w:val="24"/>
            <w:lang w:val="en-US"/>
          </w:rPr>
          <w:t>M. A. Parvez Mahmud</w:t>
        </w:r>
      </w:hyperlink>
      <w:r w:rsidRPr="000F6E8E">
        <w:rPr>
          <w:rFonts w:ascii="Times" w:hAnsi="Times"/>
          <w:color w:val="222222"/>
          <w:sz w:val="24"/>
          <w:szCs w:val="24"/>
          <w:lang w:val="en-US"/>
          <w14:textOutline w14:w="0" w14:cap="flat" w14:cmpd="sng" w14:algn="ctr">
            <w14:solidFill>
              <w14:srgbClr w14:val="222222"/>
            </w14:solidFill>
            <w14:prstDash w14:val="solid"/>
            <w14:miter w14:lim="400000"/>
          </w14:textOutline>
        </w:rPr>
        <w:t>,</w:t>
      </w:r>
      <w:hyperlink r:id="rId16" w:history="1">
        <w:r w:rsidRPr="000F6E8E">
          <w:rPr>
            <w:rStyle w:val="Hyperlink2"/>
            <w:rFonts w:ascii="Times" w:hAnsi="Times"/>
            <w:sz w:val="24"/>
            <w:szCs w:val="24"/>
            <w:lang w:val="en-US"/>
          </w:rPr>
          <w:t>Nazmul Huda</w:t>
        </w:r>
      </w:hyperlink>
      <w:r w:rsidRPr="000F6E8E">
        <w:rPr>
          <w:rFonts w:ascii="Times" w:hAnsi="Times"/>
          <w:color w:val="222222"/>
          <w:sz w:val="24"/>
          <w:szCs w:val="24"/>
          <w:lang w:val="en-US"/>
          <w14:textOutline w14:w="0" w14:cap="flat" w14:cmpd="sng" w14:algn="ctr">
            <w14:solidFill>
              <w14:srgbClr w14:val="222222"/>
            </w14:solidFill>
            <w14:prstDash w14:val="solid"/>
            <w14:miter w14:lim="400000"/>
          </w14:textOutline>
        </w:rPr>
        <w:t xml:space="preserve">, </w:t>
      </w:r>
      <w:hyperlink r:id="rId17" w:history="1">
        <w:r w:rsidRPr="000F6E8E">
          <w:rPr>
            <w:rStyle w:val="Hyperlink2"/>
            <w:rFonts w:ascii="Times" w:hAnsi="Times"/>
            <w:sz w:val="24"/>
            <w:szCs w:val="24"/>
            <w:lang w:val="en-US"/>
          </w:rPr>
          <w:t>Shahjadi Hisan Farjana</w:t>
        </w:r>
      </w:hyperlink>
      <w:r w:rsidRPr="000F6E8E">
        <w:rPr>
          <w:rFonts w:ascii="Times" w:hAnsi="Times"/>
          <w:color w:val="222222"/>
          <w:sz w:val="24"/>
          <w:szCs w:val="24"/>
          <w:lang w:val="en-US"/>
          <w14:textOutline w14:w="0" w14:cap="flat" w14:cmpd="sng" w14:algn="ctr">
            <w14:solidFill>
              <w14:srgbClr w14:val="222222"/>
            </w14:solidFill>
            <w14:prstDash w14:val="solid"/>
            <w14:miter w14:lim="400000"/>
          </w14:textOutline>
        </w:rPr>
        <w:t> </w:t>
      </w:r>
      <w:r w:rsidRPr="000F6E8E">
        <w:rPr>
          <w:rFonts w:ascii="Times" w:hAnsi="Times"/>
          <w:color w:val="222222"/>
          <w:sz w:val="24"/>
          <w:szCs w:val="24"/>
          <w:lang w:val="en-US"/>
          <w14:textOutline w14:w="0" w14:cap="flat" w14:cmpd="sng" w14:algn="ctr">
            <w14:solidFill>
              <w14:srgbClr w14:val="222222"/>
            </w14:solidFill>
            <w14:prstDash w14:val="solid"/>
            <w14:miter w14:lim="400000"/>
          </w14:textOutline>
        </w:rPr>
        <w:t>and</w:t>
      </w:r>
      <w:hyperlink r:id="rId18" w:history="1">
        <w:r w:rsidRPr="000F6E8E">
          <w:rPr>
            <w:rStyle w:val="Hyperlink2"/>
            <w:rFonts w:ascii="Times" w:hAnsi="Times"/>
            <w:sz w:val="24"/>
            <w:szCs w:val="24"/>
            <w:lang w:val="en-US"/>
          </w:rPr>
          <w:t>Candace Lang</w:t>
        </w:r>
      </w:hyperlink>
      <w:r w:rsidRPr="000F6E8E">
        <w:rPr>
          <w:rFonts w:ascii="Times" w:hAnsi="Times"/>
          <w:sz w:val="24"/>
          <w:szCs w:val="24"/>
          <w:lang w:val="en-US"/>
        </w:rPr>
        <w:t xml:space="preserve">. </w:t>
      </w:r>
      <w:r>
        <w:rPr>
          <w:rFonts w:ascii="Times" w:hAnsi="Times"/>
          <w:sz w:val="24"/>
          <w:szCs w:val="24"/>
          <w:lang w:val="en-US"/>
        </w:rPr>
        <w:t>Comparative Life Cycle Environmental Impact Analysis of Lithium-Ion (</w:t>
      </w:r>
      <w:proofErr w:type="spellStart"/>
      <w:r>
        <w:rPr>
          <w:rFonts w:ascii="Times" w:hAnsi="Times"/>
          <w:sz w:val="24"/>
          <w:szCs w:val="24"/>
          <w:lang w:val="en-US"/>
        </w:rPr>
        <w:t>LiIo</w:t>
      </w:r>
      <w:proofErr w:type="spellEnd"/>
      <w:r>
        <w:rPr>
          <w:rFonts w:ascii="Times" w:hAnsi="Times"/>
          <w:sz w:val="24"/>
          <w:szCs w:val="24"/>
          <w:lang w:val="en-US"/>
        </w:rPr>
        <w:t>) and Nickel-Met</w:t>
      </w:r>
      <w:r>
        <w:rPr>
          <w:rFonts w:ascii="Times" w:hAnsi="Times"/>
          <w:sz w:val="24"/>
          <w:szCs w:val="24"/>
          <w:lang w:val="en-US"/>
        </w:rPr>
        <w:t>al Hydride (NiMH) Batteries</w:t>
      </w:r>
      <w:r w:rsidRPr="000F6E8E">
        <w:rPr>
          <w:rFonts w:ascii="Times" w:hAnsi="Times"/>
          <w:sz w:val="24"/>
          <w:szCs w:val="24"/>
          <w:lang w:val="en-US"/>
        </w:rPr>
        <w:t xml:space="preserve">. </w:t>
      </w:r>
      <w:proofErr w:type="spellStart"/>
      <w:r>
        <w:rPr>
          <w:rFonts w:ascii="Times" w:hAnsi="Times"/>
          <w:sz w:val="24"/>
          <w:szCs w:val="24"/>
        </w:rPr>
        <w:t>Batteries</w:t>
      </w:r>
      <w:proofErr w:type="spellEnd"/>
      <w:r>
        <w:rPr>
          <w:rFonts w:ascii="Times" w:hAnsi="Times"/>
          <w:sz w:val="24"/>
          <w:szCs w:val="24"/>
        </w:rPr>
        <w:t> </w:t>
      </w:r>
      <w:r>
        <w:rPr>
          <w:rFonts w:ascii="Times" w:hAnsi="Times"/>
          <w:sz w:val="24"/>
          <w:szCs w:val="24"/>
        </w:rPr>
        <w:t>2019,</w:t>
      </w:r>
      <w:r>
        <w:rPr>
          <w:rFonts w:ascii="Times" w:hAnsi="Times"/>
          <w:sz w:val="24"/>
          <w:szCs w:val="24"/>
        </w:rPr>
        <w:t> </w:t>
      </w:r>
      <w:r>
        <w:rPr>
          <w:rFonts w:ascii="Times" w:hAnsi="Times"/>
          <w:sz w:val="24"/>
          <w:szCs w:val="24"/>
        </w:rPr>
        <w:t xml:space="preserve">5(1), 22. </w:t>
      </w:r>
      <w:hyperlink r:id="rId19" w:history="1">
        <w:r>
          <w:rPr>
            <w:rStyle w:val="Hyperlink0"/>
            <w:rFonts w:ascii="Times" w:hAnsi="Times"/>
            <w:sz w:val="24"/>
            <w:szCs w:val="24"/>
          </w:rPr>
          <w:t>https://doi.org/10.3390/batteries5010022</w:t>
        </w:r>
      </w:hyperlink>
    </w:p>
    <w:p w:rsidR="001C6550" w:rsidRPr="000F6E8E" w:rsidRDefault="00E82BBF">
      <w:pPr>
        <w:pStyle w:val="Standard"/>
        <w:spacing w:after="240" w:line="300" w:lineRule="atLeast"/>
        <w:rPr>
          <w:rFonts w:ascii="Times" w:eastAsia="Times" w:hAnsi="Times" w:cs="Times"/>
          <w:sz w:val="24"/>
          <w:szCs w:val="24"/>
          <w:lang w:val="en-US"/>
        </w:rPr>
      </w:pPr>
      <w:r>
        <w:rPr>
          <w:rFonts w:ascii="Times" w:hAnsi="Times"/>
          <w:sz w:val="24"/>
          <w:szCs w:val="24"/>
        </w:rPr>
        <w:t xml:space="preserve">[13] </w:t>
      </w:r>
      <w:r w:rsidRPr="000F6E8E">
        <w:rPr>
          <w:rFonts w:ascii="Times" w:hAnsi="Times"/>
          <w:sz w:val="24"/>
          <w:szCs w:val="24"/>
        </w:rPr>
        <w:t xml:space="preserve">Del </w:t>
      </w:r>
      <w:proofErr w:type="spellStart"/>
      <w:r w:rsidRPr="000F6E8E">
        <w:rPr>
          <w:rFonts w:ascii="Times" w:hAnsi="Times"/>
          <w:sz w:val="24"/>
          <w:szCs w:val="24"/>
        </w:rPr>
        <w:t>Borghi</w:t>
      </w:r>
      <w:proofErr w:type="spellEnd"/>
      <w:r w:rsidRPr="000F6E8E">
        <w:rPr>
          <w:rFonts w:ascii="Times" w:hAnsi="Times"/>
          <w:sz w:val="24"/>
          <w:szCs w:val="24"/>
        </w:rPr>
        <w:t xml:space="preserve">, A., </w:t>
      </w:r>
      <w:proofErr w:type="spellStart"/>
      <w:r w:rsidRPr="000F6E8E">
        <w:rPr>
          <w:rFonts w:ascii="Times" w:hAnsi="Times"/>
          <w:sz w:val="24"/>
          <w:szCs w:val="24"/>
        </w:rPr>
        <w:t>Binaghi</w:t>
      </w:r>
      <w:proofErr w:type="spellEnd"/>
      <w:r w:rsidRPr="000F6E8E">
        <w:rPr>
          <w:rFonts w:ascii="Times" w:hAnsi="Times"/>
          <w:sz w:val="24"/>
          <w:szCs w:val="24"/>
        </w:rPr>
        <w:t xml:space="preserve">, L., Del </w:t>
      </w:r>
      <w:proofErr w:type="spellStart"/>
      <w:r w:rsidRPr="000F6E8E">
        <w:rPr>
          <w:rFonts w:ascii="Times" w:hAnsi="Times"/>
          <w:sz w:val="24"/>
          <w:szCs w:val="24"/>
        </w:rPr>
        <w:t>Borghi</w:t>
      </w:r>
      <w:proofErr w:type="spellEnd"/>
      <w:r w:rsidRPr="000F6E8E">
        <w:rPr>
          <w:rFonts w:ascii="Times" w:hAnsi="Times"/>
          <w:sz w:val="24"/>
          <w:szCs w:val="24"/>
        </w:rPr>
        <w:t xml:space="preserve">, M., </w:t>
      </w:r>
      <w:proofErr w:type="spellStart"/>
      <w:r w:rsidRPr="000F6E8E">
        <w:rPr>
          <w:rFonts w:ascii="Times" w:hAnsi="Times"/>
          <w:sz w:val="24"/>
          <w:szCs w:val="24"/>
        </w:rPr>
        <w:t>Gallo</w:t>
      </w:r>
      <w:proofErr w:type="spellEnd"/>
      <w:r w:rsidRPr="000F6E8E">
        <w:rPr>
          <w:rFonts w:ascii="Times" w:hAnsi="Times"/>
          <w:sz w:val="24"/>
          <w:szCs w:val="24"/>
        </w:rPr>
        <w:t xml:space="preserve">, M., 2007. </w:t>
      </w:r>
      <w:r>
        <w:rPr>
          <w:rFonts w:ascii="Times" w:hAnsi="Times"/>
          <w:sz w:val="24"/>
          <w:szCs w:val="24"/>
          <w:lang w:val="en-US"/>
        </w:rPr>
        <w:t xml:space="preserve">The application of the environmental </w:t>
      </w:r>
      <w:r>
        <w:rPr>
          <w:rFonts w:ascii="Times" w:hAnsi="Times"/>
          <w:sz w:val="24"/>
          <w:szCs w:val="24"/>
          <w:lang w:val="en-US"/>
        </w:rPr>
        <w:t>product declaration to waste disposal in a sanitary landfill four case studies, LCA cases studies. International Journal of Life Cycle Assess-</w:t>
      </w:r>
      <w:proofErr w:type="spellStart"/>
      <w:r>
        <w:rPr>
          <w:rFonts w:ascii="Times" w:hAnsi="Times"/>
          <w:sz w:val="24"/>
          <w:szCs w:val="24"/>
          <w:lang w:val="en-US"/>
        </w:rPr>
        <w:t>ment</w:t>
      </w:r>
      <w:proofErr w:type="spellEnd"/>
      <w:r>
        <w:rPr>
          <w:rFonts w:ascii="Times" w:hAnsi="Times"/>
          <w:sz w:val="24"/>
          <w:szCs w:val="24"/>
          <w:lang w:val="en-US"/>
        </w:rPr>
        <w:t xml:space="preserve"> 12 (1), 40e49.</w:t>
      </w:r>
      <w:r w:rsidRPr="000F6E8E">
        <w:rPr>
          <w:rFonts w:ascii="Times" w:hAnsi="Times"/>
          <w:sz w:val="24"/>
          <w:szCs w:val="24"/>
          <w:lang w:val="en-US"/>
        </w:rPr>
        <w:t xml:space="preserve"> Available online at </w:t>
      </w:r>
      <w:r>
        <w:rPr>
          <w:rFonts w:ascii="Times" w:hAnsi="Times"/>
          <w:sz w:val="24"/>
          <w:szCs w:val="24"/>
          <w:lang w:val="en-US"/>
        </w:rPr>
        <w:t>https://www.researchgate.net/publication/237403293_The_Application_of_the_</w:t>
      </w:r>
      <w:r>
        <w:rPr>
          <w:rFonts w:ascii="Times" w:hAnsi="Times"/>
          <w:sz w:val="24"/>
          <w:szCs w:val="24"/>
          <w:lang w:val="en-US"/>
        </w:rPr>
        <w:t>Environmental_Product_Declaration_of_Waste_Disposal_in_a_Sanitary_Landfill_4_Case_Studies</w:t>
      </w:r>
    </w:p>
    <w:p w:rsidR="001C6550" w:rsidRPr="000F6E8E" w:rsidRDefault="001C6550">
      <w:pPr>
        <w:pStyle w:val="Standard"/>
        <w:spacing w:after="240" w:line="300" w:lineRule="atLeast"/>
        <w:jc w:val="both"/>
        <w:rPr>
          <w:rFonts w:ascii="Times" w:eastAsia="Times" w:hAnsi="Times" w:cs="Times"/>
          <w:sz w:val="24"/>
          <w:szCs w:val="24"/>
          <w:lang w:val="en-US"/>
        </w:rPr>
      </w:pPr>
    </w:p>
    <w:p w:rsidR="001C6550" w:rsidRPr="000F6E8E" w:rsidRDefault="001C6550">
      <w:pPr>
        <w:pStyle w:val="Standard"/>
        <w:spacing w:after="240" w:line="300" w:lineRule="atLeast"/>
        <w:jc w:val="both"/>
        <w:rPr>
          <w:rFonts w:ascii="Times" w:eastAsia="Times" w:hAnsi="Times" w:cs="Times"/>
          <w:sz w:val="24"/>
          <w:szCs w:val="24"/>
          <w:lang w:val="en-US"/>
        </w:rPr>
      </w:pPr>
    </w:p>
    <w:p w:rsidR="001C6550" w:rsidRDefault="00E82BBF">
      <w:pPr>
        <w:pStyle w:val="Brdtekst"/>
        <w:spacing w:line="288" w:lineRule="auto"/>
        <w:jc w:val="both"/>
      </w:pPr>
      <w:r>
        <w:rPr>
          <w:rFonts w:ascii="Times New Roman" w:hAnsi="Times New Roman"/>
          <w:sz w:val="26"/>
          <w:szCs w:val="26"/>
        </w:rPr>
        <w:t xml:space="preserve">.  </w:t>
      </w:r>
    </w:p>
    <w:sectPr w:rsidR="001C6550">
      <w:headerReference w:type="default" r:id="rId20"/>
      <w:footerReference w:type="default" r:id="rId21"/>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BBF" w:rsidRDefault="00E82BBF">
      <w:r>
        <w:separator/>
      </w:r>
    </w:p>
  </w:endnote>
  <w:endnote w:type="continuationSeparator" w:id="0">
    <w:p w:rsidR="00E82BBF" w:rsidRDefault="00E82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550" w:rsidRDefault="001C65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BBF" w:rsidRDefault="00E82BBF">
      <w:r>
        <w:separator/>
      </w:r>
    </w:p>
  </w:footnote>
  <w:footnote w:type="continuationSeparator" w:id="0">
    <w:p w:rsidR="00E82BBF" w:rsidRDefault="00E82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550" w:rsidRDefault="001C655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550"/>
    <w:rsid w:val="000F6E8E"/>
    <w:rsid w:val="001C6550"/>
    <w:rsid w:val="008A5A0D"/>
    <w:rsid w:val="00A746CD"/>
    <w:rsid w:val="00C071A7"/>
    <w:rsid w:val="00E82B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4D8A"/>
  <w15:docId w15:val="{35BDD68C-B729-4CB0-8601-A9501617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a-DK" w:eastAsia="da-DK"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Overskrift1">
    <w:name w:val="heading 1"/>
    <w:basedOn w:val="Normal"/>
    <w:next w:val="Normal"/>
    <w:link w:val="Overskrift1Tegn"/>
    <w:uiPriority w:val="9"/>
    <w:qFormat/>
    <w:rsid w:val="000F6E8E"/>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Overskrift2">
    <w:name w:val="heading 2"/>
    <w:basedOn w:val="Normal"/>
    <w:next w:val="Normal"/>
    <w:link w:val="Overskrift2Tegn"/>
    <w:uiPriority w:val="9"/>
    <w:unhideWhenUsed/>
    <w:qFormat/>
    <w:rsid w:val="000F6E8E"/>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Standard">
    <w:name w:val="Standard"/>
    <w:rPr>
      <w:rFonts w:ascii="Helvetica Neue" w:hAnsi="Helvetica Neue" w:cs="Arial Unicode MS"/>
      <w:color w:val="000000"/>
      <w:sz w:val="22"/>
      <w:szCs w:val="22"/>
      <w14:textOutline w14:w="0" w14:cap="flat" w14:cmpd="sng" w14:algn="ctr">
        <w14:noFill/>
        <w14:prstDash w14:val="solid"/>
        <w14:bevel/>
      </w14:textOutline>
    </w:rPr>
  </w:style>
  <w:style w:type="paragraph" w:styleId="Brdtekst">
    <w:name w:val="Body Text"/>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Hyperlink1">
    <w:name w:val="Hyperlink.1"/>
    <w:basedOn w:val="Hyperlink0"/>
    <w:rPr>
      <w:outline w:val="0"/>
      <w:color w:val="212121"/>
      <w:u w:val="none"/>
    </w:rPr>
  </w:style>
  <w:style w:type="character" w:customStyle="1" w:styleId="Hyperlink2">
    <w:name w:val="Hyperlink.2"/>
    <w:basedOn w:val="Hyperlink0"/>
    <w:rPr>
      <w:u w:val="none"/>
    </w:rPr>
  </w:style>
  <w:style w:type="character" w:customStyle="1" w:styleId="Overskrift1Tegn">
    <w:name w:val="Overskrift 1 Tegn"/>
    <w:basedOn w:val="Standardskrifttypeiafsnit"/>
    <w:link w:val="Overskrift1"/>
    <w:uiPriority w:val="9"/>
    <w:rsid w:val="000F6E8E"/>
    <w:rPr>
      <w:rFonts w:asciiTheme="majorHAnsi" w:eastAsiaTheme="majorEastAsia" w:hAnsiTheme="majorHAnsi" w:cstheme="majorBidi"/>
      <w:color w:val="0079BF" w:themeColor="accent1" w:themeShade="BF"/>
      <w:sz w:val="32"/>
      <w:szCs w:val="32"/>
      <w:lang w:val="en-US" w:eastAsia="en-US"/>
    </w:rPr>
  </w:style>
  <w:style w:type="paragraph" w:styleId="Overskrift">
    <w:name w:val="TOC Heading"/>
    <w:basedOn w:val="Overskrift1"/>
    <w:next w:val="Normal"/>
    <w:uiPriority w:val="39"/>
    <w:unhideWhenUsed/>
    <w:qFormat/>
    <w:rsid w:val="000F6E8E"/>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da-DK" w:eastAsia="da-DK"/>
    </w:rPr>
  </w:style>
  <w:style w:type="character" w:customStyle="1" w:styleId="Overskrift2Tegn">
    <w:name w:val="Overskrift 2 Tegn"/>
    <w:basedOn w:val="Standardskrifttypeiafsnit"/>
    <w:link w:val="Overskrift2"/>
    <w:uiPriority w:val="9"/>
    <w:rsid w:val="000F6E8E"/>
    <w:rPr>
      <w:rFonts w:asciiTheme="majorHAnsi" w:eastAsiaTheme="majorEastAsia" w:hAnsiTheme="majorHAnsi" w:cstheme="majorBidi"/>
      <w:color w:val="0079BF" w:themeColor="accent1" w:themeShade="BF"/>
      <w:sz w:val="26"/>
      <w:szCs w:val="26"/>
      <w:lang w:val="en-US" w:eastAsia="en-US"/>
    </w:rPr>
  </w:style>
  <w:style w:type="paragraph" w:styleId="Indholdsfortegnelse1">
    <w:name w:val="toc 1"/>
    <w:basedOn w:val="Normal"/>
    <w:next w:val="Normal"/>
    <w:autoRedefine/>
    <w:uiPriority w:val="39"/>
    <w:unhideWhenUsed/>
    <w:rsid w:val="000F6E8E"/>
    <w:pPr>
      <w:spacing w:after="100"/>
    </w:pPr>
  </w:style>
  <w:style w:type="paragraph" w:styleId="Indholdsfortegnelse2">
    <w:name w:val="toc 2"/>
    <w:basedOn w:val="Normal"/>
    <w:next w:val="Normal"/>
    <w:autoRedefine/>
    <w:uiPriority w:val="39"/>
    <w:unhideWhenUsed/>
    <w:rsid w:val="000F6E8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akofa.com/element/landfilling-in-denmark/" TargetMode="External"/><Relationship Id="rId18" Type="http://schemas.openxmlformats.org/officeDocument/2006/relationships/hyperlink" Target="https://www.mdpi.com/search?authors=Candace%20Lang&amp;orcid=0000-0003-1064-630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dx.doi.org/10.1016/j.esd.2013.05.001" TargetMode="External"/><Relationship Id="rId17" Type="http://schemas.openxmlformats.org/officeDocument/2006/relationships/hyperlink" Target="https://www.mdpi.com/search?authors=Shahjadi%20%20Hisan%20Farjana&amp;orcid=" TargetMode="External"/><Relationship Id="rId2" Type="http://schemas.openxmlformats.org/officeDocument/2006/relationships/styles" Target="styles.xml"/><Relationship Id="rId16" Type="http://schemas.openxmlformats.org/officeDocument/2006/relationships/hyperlink" Target="https://www.mdpi.com/search?authors=Nazmul%20Huda&amp;orcid=0000-0002-2349-701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uncil.com" TargetMode="External"/><Relationship Id="rId5" Type="http://schemas.openxmlformats.org/officeDocument/2006/relationships/footnotes" Target="footnotes.xml"/><Relationship Id="rId15" Type="http://schemas.openxmlformats.org/officeDocument/2006/relationships/hyperlink" Target="https://www.mdpi.com/search?authors=M.%20%20A.%20Parvez%20Mahmud&amp;orcid=" TargetMode="External"/><Relationship Id="rId23" Type="http://schemas.openxmlformats.org/officeDocument/2006/relationships/theme" Target="theme/theme1.xml"/><Relationship Id="rId10" Type="http://schemas.openxmlformats.org/officeDocument/2006/relationships/hyperlink" Target="http://www.excellentsolars.com/products/solar-street-lighting-system/" TargetMode="External"/><Relationship Id="rId19" Type="http://schemas.openxmlformats.org/officeDocument/2006/relationships/hyperlink" Target="https://doi.org/10.3390/batteries5010022" TargetMode="External"/><Relationship Id="rId4" Type="http://schemas.openxmlformats.org/officeDocument/2006/relationships/webSettings" Target="webSettings.xml"/><Relationship Id="rId9" Type="http://schemas.openxmlformats.org/officeDocument/2006/relationships/hyperlink" Target="https://glamox.com/gmo/led-and-lifetime" TargetMode="External"/><Relationship Id="rId14" Type="http://schemas.openxmlformats.org/officeDocument/2006/relationships/hyperlink" Target="https://iopscience.iop.org/article/10.1088/1748-9326/5/1/014016/meta" TargetMode="Externa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CFC7E-97E2-4900-8CA0-2ACFE0795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1493</Words>
  <Characters>9112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Ekaterina</dc:creator>
  <cp:lastModifiedBy>Ekaterina</cp:lastModifiedBy>
  <cp:revision>2</cp:revision>
  <dcterms:created xsi:type="dcterms:W3CDTF">2019-10-07T18:26:00Z</dcterms:created>
  <dcterms:modified xsi:type="dcterms:W3CDTF">2019-10-07T18:26:00Z</dcterms:modified>
</cp:coreProperties>
</file>