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ckside-content-requirements"/>
    <w:p>
      <w:pPr>
        <w:pStyle w:val="Heading1"/>
      </w:pPr>
      <w:r>
        <w:t xml:space="preserve">Backside content requirements</w:t>
      </w:r>
    </w:p>
    <w:p>
      <w:pPr>
        <w:pStyle w:val="FirstParagraph"/>
      </w:pPr>
      <w:r>
        <w:t xml:space="preserve">For each tuck box, place the deck’s lore on the backside panel, not on the overall sheet and not across fold/cut areas.</w:t>
      </w:r>
    </w:p>
    <w:p>
      <w:pPr>
        <w:numPr>
          <w:ilvl w:val="0"/>
          <w:numId w:val="1001"/>
        </w:numPr>
        <w:pStyle w:val="Compact"/>
      </w:pPr>
      <w:r>
        <w:t xml:space="preserve">Use the supplied card artwork only for the corresponding deck listed in</w:t>
      </w:r>
      <w:r>
        <w:t xml:space="preserve"> </w:t>
      </w:r>
      <w:r>
        <w:rPr>
          <w:rStyle w:val="VerbatimChar"/>
        </w:rPr>
        <w:t xml:space="preserve">DECK_ASSIGNMENTS.md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Use the supplied full-colour GlimmerFall logo.</w:t>
      </w:r>
    </w:p>
    <w:p>
      <w:pPr>
        <w:numPr>
          <w:ilvl w:val="0"/>
          <w:numId w:val="1001"/>
        </w:numPr>
        <w:pStyle w:val="Compact"/>
      </w:pPr>
      <w:r>
        <w:t xml:space="preserve">Break lore into</w:t>
      </w:r>
      <w:r>
        <w:t xml:space="preserve"> </w:t>
      </w:r>
      <w:r>
        <w:rPr>
          <w:bCs/>
          <w:b/>
        </w:rPr>
        <w:t xml:space="preserve">2 or more readable lines</w:t>
      </w:r>
      <w:r>
        <w:t xml:space="preserve">. Do not force the complete lore into one long line.</w:t>
      </w:r>
    </w:p>
    <w:p>
      <w:pPr>
        <w:numPr>
          <w:ilvl w:val="0"/>
          <w:numId w:val="1001"/>
        </w:numPr>
        <w:pStyle w:val="Compact"/>
      </w:pPr>
      <w:r>
        <w:t xml:space="preserve">Keep lore fully inside the backside safe area, with comfortable margins above the bottom edge.</w:t>
      </w:r>
    </w:p>
    <w:p>
      <w:pPr>
        <w:numPr>
          <w:ilvl w:val="0"/>
          <w:numId w:val="1001"/>
        </w:numPr>
        <w:pStyle w:val="Compact"/>
      </w:pPr>
      <w:r>
        <w:t xml:space="preserve">Place</w:t>
      </w:r>
      <w:r>
        <w:t xml:space="preserve"> </w:t>
      </w:r>
      <w:r>
        <w:rPr>
          <w:rStyle w:val="VerbatimChar"/>
        </w:rPr>
        <w:t xml:space="preserve">GlimmerFallTCG.com</w:t>
      </w:r>
      <w:r>
        <w:t xml:space="preserve"> </w:t>
      </w:r>
      <w:r>
        <w:t xml:space="preserve">below the lore, or use a QR code that resolves to</w:t>
      </w:r>
      <w:r>
        <w:t xml:space="preserve"> </w:t>
      </w:r>
      <w:r>
        <w:rPr>
          <w:rStyle w:val="VerbatimChar"/>
        </w:rPr>
        <w:t xml:space="preserve">https://GlimmerFallTCG.com</w:t>
      </w:r>
      <w:r>
        <w:t xml:space="preserve"> </w:t>
      </w:r>
      <w:r>
        <w:t xml:space="preserve">and include the website URL as readable fallback text.</w:t>
      </w:r>
    </w:p>
    <w:p>
      <w:pPr>
        <w:numPr>
          <w:ilvl w:val="0"/>
          <w:numId w:val="1001"/>
        </w:numPr>
        <w:pStyle w:val="Compact"/>
      </w:pPr>
      <w:r>
        <w:t xml:space="preserve">Do not add decorative rectangular borders, coloured panel borders, or red cut/fold/bleed guide lines to the artwork export.</w:t>
      </w:r>
    </w:p>
    <w:p>
      <w:pPr>
        <w:numPr>
          <w:ilvl w:val="0"/>
          <w:numId w:val="1001"/>
        </w:numPr>
        <w:pStyle w:val="Compact"/>
      </w:pPr>
      <w:r>
        <w:t xml:space="preserve">Keep all text legible at the final print size and verify it on the actual tuck-box dieline before export.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2026-07-26T12:28:27Z</dcterms:created>
  <dcterms:modified xsi:type="dcterms:W3CDTF">2026-07-26T12:28:27Z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