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Atlas</w:t>
      </w:r>
    </w:p>
    <w:p>
      <w:r>
        <w:t xml:space="preserve">Atlas is the internal codename for the replacement billing engine.</w:t>
      </w:r>
    </w:p>
    <w:p>
      <w:r>
        <w:t xml:space="preserve">It replaces the legacy invoicing scripts that run nightly.</w:t>
      </w:r>
    </w:p>
    <w:p>
      <w:pPr>
        <w:pStyle w:val="Heading1"/>
      </w:pPr>
      <w:r>
        <w:t xml:space="preserve">Timeline</w:t>
      </w:r>
    </w:p>
    <w:p>
      <w:r>
        <w:t xml:space="preserve">Beta ships in March 2027. General availability follows in June 2027.</w:t>
      </w:r>
    </w:p>
    <w:p>
      <w:r>
        <w:t xml:space="preserve">The migration freeze runs for two weeks before each milestone.</w:t>
      </w:r>
    </w:p>
    <w:p>
      <w:pPr>
        <w:pStyle w:val="Heading1"/>
      </w:pPr>
      <w:r>
        <w:t xml:space="preserve">Owners</w:t>
      </w:r>
    </w:p>
    <w:p>
      <w:r>
        <w:t xml:space="preserve">Engineering owner is Priya Raman. Finance owner is Tomas Vogel.</w:t>
      </w:r>
    </w:p>
  </w:body>
</w:document>
</file>