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4.0" w:type="dxa"/>
        <w:jc w:val="left"/>
        <w:tblInd w:w="-68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1267"/>
        <w:gridCol w:w="1267"/>
        <w:gridCol w:w="5460"/>
        <w:gridCol w:w="2160"/>
        <w:tblGridChange w:id="0">
          <w:tblGrid>
            <w:gridCol w:w="1267"/>
            <w:gridCol w:w="1267"/>
            <w:gridCol w:w="5460"/>
            <w:gridCol w:w="216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-65404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b="0" l="0" r="0" t="0"/>
                  <wp:wrapSquare wrapText="bothSides" distB="0" distT="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67202" l="0" r="7852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647" cy="1033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60" w:before="60" w:lineRule="auto"/>
              <w:rPr>
                <w:rFonts w:ascii="Calibri" w:cs="Calibri" w:eastAsia="Calibri" w:hAnsi="Calibri"/>
                <w:color w:val="ed7d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d7d31"/>
                <w:rtl w:val="0"/>
              </w:rPr>
              <w:t xml:space="preserve">ACTIVIDAD DIDÁCTICA CUESTIONARIO</w:t>
            </w:r>
          </w:p>
          <w:p w:rsidR="00000000" w:rsidDel="00000000" w:rsidP="00000000" w:rsidRDefault="00000000" w:rsidRPr="00000000" w14:paraId="00000004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Generalidades de la actividad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 indicaciones, el mensaje de correcto e incorrecto debe estar la redacción en segunda persona.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Diligenciar solo los espacios en blanco.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aprendiz recibe una retroalimentación cuando responde de manera correcta o incorrecta cada pregunta.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Señale en la columna Rta. Correcta con una (x) de acuerdo con las opciones presentadas.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 final de la actividad se muestra una retroalimentación de felicitación si logra el 70 % de respuestas correctas o retroalimentación de mejora si es inferior a este porcentaje.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color w:val="595959"/>
                <w:sz w:val="20"/>
                <w:szCs w:val="20"/>
                <w:rtl w:val="0"/>
              </w:rPr>
              <w:t xml:space="preserve">responsive web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Instrucciones para el aprendiz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  <w:shd w:fill="ffe5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Esta actividad le permitirá determinar el grado de apropiación de los contenidos del componente formativo «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Soporte técnico y atención al cliente en la reparación de equipos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Antes de su realización, se recomienda la lectura del componente formativo mencionado. Es opcional (no es calificable), y puede realizarse todas las veces que se desee.</w:t>
            </w:r>
          </w:p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Lea la afirmación de cada ítem y luego señale verdadero o falso según corresponda.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Nombre de la Actividad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A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Prueba de conocimientos sobre Soporte técnico y atención al cliente en la reparación de equipos.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1C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Objetivo de la actividad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Validar el conocimiento adquirido sobre soporte técnico y atención al cliente en la reparación de equipos. Esto se trabaja a partir de un conjunto de con el propósito de buscar una dinámica de razonamiento ágil sobre opciones cerradas y reafirmar un conocimiento declarado dentro del componente.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Lea cada enunciado referente a los temas desarrollados en el componente formativo y elija entre verdadero y falso según corresponda.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  <w:shd w:fill="ffe599" w:val="clear"/>
          </w:tcPr>
          <w:p w:rsidR="00000000" w:rsidDel="00000000" w:rsidP="00000000" w:rsidRDefault="00000000" w:rsidRPr="00000000" w14:paraId="00000024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Pregunta 1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Los protocolos de atención al cliente son esenciales para estandarizar la calidad del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Rta(s) correcta(s) (x)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D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1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¡Correcto! Los protocolos son necesarios para ofrecer un servicio uniforme y mantener la calidad en la atención al cliente.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Incorrecto. Los protocolos ayudan a que todos los clientes reciban el mismo nivel de servicio, asegurando la satisfacción y eficiencia.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54.0" w:type="dxa"/>
        <w:jc w:val="left"/>
        <w:tblInd w:w="-68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1267"/>
        <w:gridCol w:w="1267"/>
        <w:gridCol w:w="5460"/>
        <w:gridCol w:w="2160"/>
        <w:tblGridChange w:id="0">
          <w:tblGrid>
            <w:gridCol w:w="1267"/>
            <w:gridCol w:w="1267"/>
            <w:gridCol w:w="5460"/>
            <w:gridCol w:w="216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Pregunta 2</w:t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3F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La trazabilidad del servicio se refiere a resolver un problema técnico en la primera interacción.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2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6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4B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¡Correcto! La trazabilidad implica registrar todas las etapas del servicio, no necesariamente resolver el problema en la primera interacción.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4D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Incorrecto. La trazabilidad implica llevar un registro detallado de cada paso del proceso de soporte, no se limita a la primera interacción.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1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Pregunta 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3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El escalamiento se utiliza cuando un problema supera la capacidad del nivel de soporte inicial.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5D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¡Correcto! El escalamiento permite que los problemas complejos se deriven a un nivel superior de soporte.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Incorrecto. El escalamiento es una práctica clave para asegurar que problemas complejos se resuelvan por personal más capacitado.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65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Pregunta 4</w:t>
            </w:r>
          </w:p>
        </w:tc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67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Los SLAs solo benefician a la empresa y no impactan la experiencia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¡Correcto! Los SLAs (acuerdos de nivel de servicio) aseguran tiempos de respuesta y estándares que mejoran la experiencia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75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Incorrecto. Los SLAs son esenciales para garantizar que el cliente reciba atención en tiempos específicos y con estándares de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Pregunta 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El troubleshooting se refiere a métodos de resolución rápida y sin análisis detallado.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85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spacing w:after="60" w:before="60" w:lineRule="auto"/>
              <w:jc w:val="both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Correcto! El troubleshooting implica un análisis detallado y sistemático para identificar y solucionar problemas.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9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Incorrecto. El troubleshooting es un proceso detallado de diagnóstico que busca identificar la raíz del problema.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8D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Pregunta 6</w:t>
            </w:r>
          </w:p>
        </w:tc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8F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La clasificación de incidentes permite asignar recursos adecuados según la gravedad del caso.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9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pacing w:after="60" w:before="60" w:line="276" w:lineRule="auto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¡Correcto! Clasificar los incidentes ayuda a determinar la prioridad y asignar los recursos necesarios.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9D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Incorrecto. La clasificación de incidentes es fundamental para priorizar y asignar recursos eficientemente.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54.0" w:type="dxa"/>
        <w:jc w:val="left"/>
        <w:tblInd w:w="-68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00"/>
      </w:tblPr>
      <w:tblGrid>
        <w:gridCol w:w="1267"/>
        <w:gridCol w:w="1267"/>
        <w:gridCol w:w="5460"/>
        <w:gridCol w:w="2160"/>
        <w:tblGridChange w:id="0">
          <w:tblGrid>
            <w:gridCol w:w="1267"/>
            <w:gridCol w:w="1267"/>
            <w:gridCol w:w="5460"/>
            <w:gridCol w:w="216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A2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Pregunta 7</w:t>
            </w:r>
          </w:p>
        </w:tc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A4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Los sistemas Help-Desk no permiten realizar un seguimiento de los problemas reportados.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E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¡Correcto! Los sistemas Help-Desk están diseñados precisamente para registrar y dar seguimiento a cada caso.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B2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Incorrecto. Los sistemas Help-Desk facilitan el seguimiento y resolución de problemas en el servicio de soporte.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B6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Pregunta 8</w:t>
            </w:r>
          </w:p>
        </w:tc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B8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La documentación de servicio facilita la mejora continua en los procesos de soporte.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2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¡Correcto! Documentar cada servicio permite analizar y mejorar los procesos de atención.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C6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Incorrecto. La documentación es clave para revisar y optimizar los procesos de soporte..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CA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Pregunta 9</w:t>
            </w:r>
          </w:p>
        </w:tc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CC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Las métricas de rendimiento son irrelevantes para la evaluación del servicio 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6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¡Correcto! Las métricas de rendimiento son esenciales para medir la eficiencia y mejorar el servicio.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DA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Incorrecto. Las métricas permiten evaluar el desempeño y encontrar áreas de mejora en el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DE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Pregunta 10</w:t>
            </w:r>
          </w:p>
        </w:tc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Un formato de registro bien estructurado puede mejorar la eficiencia del soporte técnico.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A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¡Correcto! Un buen formato ayuda a registrar información relevante y agiliza el proceso de soporte.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EE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Incorrecto. Un formato adecuado permite recopilar datos de manera clara y agiliza la atención al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0F2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Pregunta 11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El tiempo de respuesta en el soporte técnico no tiene impacto en la satisfacción del cliente.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FE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Correcto! El tiempo de respuesta es crucial para la satisfacción del cliente y la percepción del servicio.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02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Incorrecto. Los tiempos de respuesta rápidos son esenciales para mejorar la experiencia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06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Pregunta 12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El escalamiento de un caso siempre implica una demora en la solución.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2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¡Correcto! El escalamiento no implica demora; permite que el problema sea atendido por personal más capacitado.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16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Incorrecto. Escalar un caso no necesariamente retrasa la solución, sino que permite abordar problemas complejos de manera eficiente.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1A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Pregunta 13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Los SLAs son utilizados para definir el alcance del servicio y las expectativas de resolución.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26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¡Correcto! Los SLAs definen las expectativas y los estándares de tiempo y calidad en la atención.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2A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C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Incorrecto. Los SLAs establecen tiempos y criterios claros para la atención, mejorando la experiencia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2E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Pregunta 14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La El troubleshooting no requiere documentación del proceso de diagnóstico.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3A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C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¡Correcto! El troubleshooting debe estar documentado para que se pueda revisar y mejorar.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3E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Incorrecto. Documentar el troubleshooting es fundamental para entender el proceso de diagnóstico y su efectividad.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42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Pregunta 15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Los sistemas Help-Desk pueden mejorar la eficiencia en el servicio de soporte.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4E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0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¡Correcto! Los sistemas Help-Desk ayudan a organizar y gestionar los casos, mejorando la eficiencia.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52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4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Incorrecto. Los sistemas Help-Desk son una herramienta clave para gestionar eficientemente el soporte técnico.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56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Pregunta 16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8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Las métricas solo se utilizan para medir la satisfacción del cliente.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2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64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Correcto! Las métricas también evalúan tiempos de respuesta, resolución de problemas y otros aspectos del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66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68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Incorrecto. Las métricas cubren varios aspectos, como tiempo de respuesta y eficiencia en la resolución.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6A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Pregunta 17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La clasificación de incidentes solo considera la urgencia del problema.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6F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76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78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¡Correcto! La clasificación incluye factores como urgencia, gravedad y tipo de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7A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7C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Incorrecto. La clasificación de incidentes considera varios factores para priorizar adecuadamente.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7E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Pregunta 18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0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Un formato de registro de servicio no necesita actualización constante.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83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87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8A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8C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¡Correcto! Es importante actualizar los formatos para que reflejen mejoras en los procesos y necesidades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8E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90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Incorrecto. Los formatos de registro deben ser revisados y actualizados para mantener su eficacia..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92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Pregunta 19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4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Los protocolos de atención al cliente ayudan a reducir los tiempos de espera.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97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9B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9E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A0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¡Correcto! Los protocolos organizan el proceso y agilizan la respuesta al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A2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A4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Incorrecto. Los protocolos de atención ayudan a estructurar el servicio, reduciendo tiempos y optimizando la atención..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A6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Pregunta 20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8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La trazabilidad permite revisar el historial de cada caso y mejorar el proceso.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AB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AF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B2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B4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Correcto! La trazabilidad ayuda a documentar cada etapa del proceso, facilitando mejoras.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B6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B8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Incorrecto. La trazabilidad permite analizar el historial de casos y encontrar oportunidades de mejora en el servicio.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aeaa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54.0" w:type="dxa"/>
        <w:jc w:val="left"/>
        <w:tblInd w:w="-68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2534"/>
        <w:gridCol w:w="7620"/>
        <w:tblGridChange w:id="0">
          <w:tblGrid>
            <w:gridCol w:w="2534"/>
            <w:gridCol w:w="762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shd w:fill="ffd966" w:val="clear"/>
          </w:tcPr>
          <w:p w:rsidR="00000000" w:rsidDel="00000000" w:rsidP="00000000" w:rsidRDefault="00000000" w:rsidRPr="00000000" w14:paraId="000001BB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FINAL ACTIVIDAD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BD">
            <w:pPr>
              <w:widowControl w:val="0"/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supera el 70 % de respuestas correctas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¡Excelente! Ha superado la actividad demostrando sólidos conocimientos sobre el componente formativo.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widowControl w:val="0"/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el porcentaje de respuestas correctas es inferior al 70 %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No ha superado la actividad. Se le recomienda volver a revisar el componente formativo e intentar nuevamente la actividad didáctica.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0"/>
        <w:gridCol w:w="2791"/>
        <w:gridCol w:w="3088"/>
        <w:tblGridChange w:id="0">
          <w:tblGrid>
            <w:gridCol w:w="3130"/>
            <w:gridCol w:w="2791"/>
            <w:gridCol w:w="3088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CONTROL DE REVISIÓN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Responsable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Fecha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5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