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0D" w:rsidRDefault="0050690D">
      <w:pPr>
        <w:rPr>
          <w:b/>
          <w:sz w:val="28"/>
          <w:szCs w:val="28"/>
        </w:rPr>
      </w:pPr>
      <w:r>
        <w:rPr>
          <w:b/>
          <w:sz w:val="28"/>
          <w:szCs w:val="28"/>
        </w:rPr>
        <w:t>Thank you very much for your time ahead.</w:t>
      </w:r>
    </w:p>
    <w:p w:rsidR="00776AA2" w:rsidRDefault="00776AA2">
      <w:r w:rsidRPr="006B7D0E">
        <w:rPr>
          <w:b/>
          <w:sz w:val="28"/>
          <w:szCs w:val="28"/>
        </w:rPr>
        <w:t>First,</w:t>
      </w:r>
      <w:r w:rsidR="006B7D0E">
        <w:t xml:space="preserve"> the SQL part is </w:t>
      </w:r>
      <w:r>
        <w:t xml:space="preserve">the </w:t>
      </w:r>
      <w:r w:rsidRPr="00776AA2">
        <w:t>Tables_list</w:t>
      </w:r>
      <w:r>
        <w:t xml:space="preserve">.xlsx </w:t>
      </w:r>
      <w:r w:rsidR="006B7D0E">
        <w:t xml:space="preserve">and in the </w:t>
      </w:r>
      <w:proofErr w:type="spellStart"/>
      <w:r w:rsidR="006B7D0E">
        <w:t>query.sql</w:t>
      </w:r>
      <w:proofErr w:type="spellEnd"/>
      <w:r w:rsidR="006B7D0E">
        <w:t xml:space="preserve"> file </w:t>
      </w:r>
      <w:r>
        <w:t>in the folder.</w:t>
      </w:r>
    </w:p>
    <w:p w:rsidR="00CC32CD" w:rsidRDefault="006B7D0E">
      <w:r>
        <w:t xml:space="preserve">The </w:t>
      </w:r>
      <w:proofErr w:type="spellStart"/>
      <w:r>
        <w:t>Table_list</w:t>
      </w:r>
      <w:proofErr w:type="spellEnd"/>
      <w:r>
        <w:t xml:space="preserve"> file gives the table on </w:t>
      </w:r>
      <w:r w:rsidRPr="006B7D0E">
        <w:t>what the attached SQL query (query.txt) is gathering and aggregating</w:t>
      </w:r>
      <w:r>
        <w:t xml:space="preserve">, while the </w:t>
      </w:r>
      <w:proofErr w:type="spellStart"/>
      <w:r>
        <w:t>query.sql</w:t>
      </w:r>
      <w:proofErr w:type="spellEnd"/>
      <w:r>
        <w:t xml:space="preserve"> has my comments in “comment” labeled close to where I believe it could be improved for the </w:t>
      </w:r>
      <w:proofErr w:type="spellStart"/>
      <w:r>
        <w:t>sql</w:t>
      </w:r>
      <w:proofErr w:type="spellEnd"/>
      <w:r>
        <w:t xml:space="preserve"> performance.</w:t>
      </w:r>
    </w:p>
    <w:p w:rsidR="006B7D0E" w:rsidRPr="006B7D0E" w:rsidRDefault="006B7D0E">
      <w:pPr>
        <w:rPr>
          <w:b/>
          <w:sz w:val="28"/>
          <w:szCs w:val="28"/>
        </w:rPr>
      </w:pPr>
    </w:p>
    <w:p w:rsidR="00776AA2" w:rsidRDefault="00776AA2">
      <w:r w:rsidRPr="006B7D0E">
        <w:rPr>
          <w:b/>
          <w:sz w:val="28"/>
          <w:szCs w:val="28"/>
        </w:rPr>
        <w:t>Second</w:t>
      </w:r>
      <w:r>
        <w:t>, the data analysis part is as below.</w:t>
      </w:r>
    </w:p>
    <w:p w:rsidR="00CC32CD" w:rsidRDefault="00CC32CD" w:rsidP="00CC32CD">
      <w:r>
        <w:t>So please install power query if n</w:t>
      </w:r>
      <w:r w:rsidR="006B7D0E">
        <w:t>eeding to view my querying step if you don’t have it.</w:t>
      </w:r>
    </w:p>
    <w:p w:rsidR="00CC32CD" w:rsidRDefault="00CC32CD" w:rsidP="00CC32CD"/>
    <w:p w:rsidR="008874F1" w:rsidRDefault="00B97E86">
      <w:r>
        <w:t>Step 1: observe the key data trending pattern on the control group (no device in use)</w:t>
      </w:r>
    </w:p>
    <w:p w:rsidR="00CC32CD" w:rsidRDefault="00CC32CD"/>
    <w:p w:rsidR="00B97E86" w:rsidRDefault="00B97E86">
      <w:r>
        <w:t>Using power query in Excel:  I applied “</w:t>
      </w:r>
      <w:proofErr w:type="spellStart"/>
      <w:r>
        <w:t>restaurant_data</w:t>
      </w:r>
      <w:proofErr w:type="spellEnd"/>
      <w:r>
        <w:t xml:space="preserve"> left outer join </w:t>
      </w:r>
      <w:proofErr w:type="spellStart"/>
      <w:r>
        <w:t>restaurant_info</w:t>
      </w:r>
      <w:proofErr w:type="spellEnd"/>
      <w:r>
        <w:t>”.</w:t>
      </w:r>
    </w:p>
    <w:p w:rsidR="00B97E86" w:rsidRDefault="00B97E86">
      <w:r>
        <w:t>Below shows how I group up the data and import it to the new tab</w:t>
      </w:r>
    </w:p>
    <w:p w:rsidR="00B97E86" w:rsidRDefault="00B97E86">
      <w:r>
        <w:rPr>
          <w:noProof/>
        </w:rPr>
        <w:drawing>
          <wp:inline distT="0" distB="0" distL="0" distR="0">
            <wp:extent cx="5943600" cy="4031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040D4.tmp"/>
                    <pic:cNvPicPr/>
                  </pic:nvPicPr>
                  <pic:blipFill>
                    <a:blip r:embed="rId5">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p w:rsidR="00B97E86" w:rsidRDefault="00B97E86">
      <w:r>
        <w:rPr>
          <w:noProof/>
        </w:rPr>
        <w:lastRenderedPageBreak/>
        <w:drawing>
          <wp:inline distT="0" distB="0" distL="0" distR="0">
            <wp:extent cx="5943600" cy="35191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09C9.tmp"/>
                    <pic:cNvPicPr/>
                  </pic:nvPicPr>
                  <pic:blipFill>
                    <a:blip r:embed="rId6">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CC32CD" w:rsidRDefault="00CC32CD">
      <w:r>
        <w:t>Step 2:</w:t>
      </w:r>
    </w:p>
    <w:p w:rsidR="004D38FF" w:rsidRDefault="004D38FF">
      <w:r>
        <w:t>Build a pivot table</w:t>
      </w:r>
      <w:r w:rsidR="00283C73">
        <w:t xml:space="preserve"> and shows 2 graphs</w:t>
      </w:r>
      <w:r>
        <w:t xml:space="preserve"> as below:</w:t>
      </w:r>
    </w:p>
    <w:p w:rsidR="00283C73" w:rsidRDefault="00283C73">
      <w:r>
        <w:t>The total Net Sales for each month in 2014</w:t>
      </w:r>
    </w:p>
    <w:p w:rsidR="00B97E86" w:rsidRDefault="004D38FF">
      <w:r>
        <w:rPr>
          <w:noProof/>
        </w:rPr>
        <w:drawing>
          <wp:inline distT="0" distB="0" distL="0" distR="0">
            <wp:extent cx="5943600" cy="2423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5095AB.tmp"/>
                    <pic:cNvPicPr/>
                  </pic:nvPicPr>
                  <pic:blipFill>
                    <a:blip r:embed="rId7">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rsidR="00283C73" w:rsidRDefault="00283C73"/>
    <w:p w:rsidR="00283C73" w:rsidRDefault="00283C73"/>
    <w:p w:rsidR="00283C73" w:rsidRDefault="00283C73"/>
    <w:p w:rsidR="00283C73" w:rsidRDefault="00283C73"/>
    <w:p w:rsidR="00283C73" w:rsidRDefault="00283C73"/>
    <w:p w:rsidR="00283C73" w:rsidRDefault="00283C73">
      <w:r>
        <w:t>The average Net sales for each month in 2014</w:t>
      </w:r>
    </w:p>
    <w:p w:rsidR="00283C73" w:rsidRDefault="00283C73">
      <w:r>
        <w:rPr>
          <w:noProof/>
        </w:rPr>
        <w:drawing>
          <wp:inline distT="0" distB="0" distL="0" distR="0">
            <wp:extent cx="5943600" cy="250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0EB40.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p>
    <w:p w:rsidR="00283C73" w:rsidRDefault="00283C73"/>
    <w:p w:rsidR="008D4732" w:rsidRDefault="004D38FF">
      <w:r>
        <w:t xml:space="preserve">In the </w:t>
      </w:r>
      <w:r w:rsidR="008874F1">
        <w:t>above graph</w:t>
      </w:r>
      <w:r w:rsidR="00283C73">
        <w:t>s</w:t>
      </w:r>
      <w:r>
        <w:t>,</w:t>
      </w:r>
      <w:r w:rsidR="008874F1">
        <w:t xml:space="preserve"> we observe that the first 8-months is the best time of the restaurant business as all the data consistently points out.  Yet, the </w:t>
      </w:r>
      <w:r w:rsidR="00283C73">
        <w:t>total</w:t>
      </w:r>
      <w:r w:rsidR="00CC32CD">
        <w:t xml:space="preserve"> numbers of </w:t>
      </w:r>
      <w:proofErr w:type="spellStart"/>
      <w:r w:rsidR="00CC32CD">
        <w:t>POS</w:t>
      </w:r>
      <w:r w:rsidR="008874F1">
        <w:t>_check</w:t>
      </w:r>
      <w:proofErr w:type="spellEnd"/>
      <w:r w:rsidR="008874F1">
        <w:t xml:space="preserve"> per month has not changed much from month to month during the year. Plus, the labor cost</w:t>
      </w:r>
      <w:r w:rsidR="00283C73">
        <w:t xml:space="preserve">s is not too sensitive to sales in each </w:t>
      </w:r>
      <w:r w:rsidR="008874F1">
        <w:t>period though it moves along with the restaurants’ business.</w:t>
      </w:r>
    </w:p>
    <w:p w:rsidR="00E276B7" w:rsidRDefault="00202A48">
      <w:r>
        <w:t xml:space="preserve">Moreover, </w:t>
      </w:r>
      <w:r w:rsidR="00E276B7">
        <w:t>by comparison, the average Net Sales each month in the Sothern Group shows a higher position in graph whereas the total Net sales each month in the western food Group holds the highest ground.</w:t>
      </w:r>
    </w:p>
    <w:p w:rsidR="00E276B7" w:rsidRDefault="008874F1">
      <w:r>
        <w:t xml:space="preserve">Finally, it is interesting to </w:t>
      </w:r>
      <w:r w:rsidR="008D4732">
        <w:t xml:space="preserve">find that Western food group’s </w:t>
      </w:r>
      <w:r w:rsidR="00E276B7">
        <w:t xml:space="preserve">total </w:t>
      </w:r>
      <w:r w:rsidR="008D4732">
        <w:t xml:space="preserve">net sales varied a lot </w:t>
      </w:r>
      <w:r w:rsidR="00E276B7">
        <w:t xml:space="preserve">whereas the Southern Group’s average net sales stayed high </w:t>
      </w:r>
      <w:r w:rsidR="008D4732">
        <w:t>as</w:t>
      </w:r>
      <w:r w:rsidR="004D77DA">
        <w:t xml:space="preserve"> time went on in 2014 in the control group.</w:t>
      </w:r>
    </w:p>
    <w:p w:rsidR="004D77DA" w:rsidRDefault="004D77DA">
      <w:r>
        <w:t>Yet, to compare performance between the control group and the experimental group, it is better to use average per month, since some restaurants may not operate in certain day or lost their data during the month.</w:t>
      </w:r>
    </w:p>
    <w:p w:rsidR="00E276B7" w:rsidRDefault="00E276B7"/>
    <w:p w:rsidR="008526EB" w:rsidRDefault="008526EB"/>
    <w:p w:rsidR="008D4732" w:rsidRDefault="007041FB">
      <w:r>
        <w:t xml:space="preserve">The </w:t>
      </w:r>
      <w:r w:rsidRPr="007041FB">
        <w:t>impact of the in</w:t>
      </w:r>
      <w:r>
        <w:t>troduction of the Presto device vs the control group</w:t>
      </w:r>
      <w:r w:rsidR="007542D7">
        <w:t>:</w:t>
      </w:r>
    </w:p>
    <w:p w:rsidR="007542D7" w:rsidRDefault="007542D7">
      <w:proofErr w:type="gramStart"/>
      <w:r>
        <w:lastRenderedPageBreak/>
        <w:t>the</w:t>
      </w:r>
      <w:proofErr w:type="gramEnd"/>
      <w:r>
        <w:t xml:space="preserve"> control group:</w:t>
      </w:r>
      <w:r>
        <w:rPr>
          <w:noProof/>
        </w:rPr>
        <w:drawing>
          <wp:inline distT="0" distB="0" distL="0" distR="0" wp14:anchorId="13D10B6B" wp14:editId="55AFC610">
            <wp:extent cx="5657850" cy="3209925"/>
            <wp:effectExtent l="0" t="0" r="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542D7" w:rsidRDefault="007542D7">
      <w:proofErr w:type="gramStart"/>
      <w:r>
        <w:t>the</w:t>
      </w:r>
      <w:proofErr w:type="gramEnd"/>
      <w:r>
        <w:t xml:space="preserve"> with-presto device group:</w:t>
      </w:r>
    </w:p>
    <w:p w:rsidR="007542D7" w:rsidRDefault="007542D7">
      <w:r>
        <w:rPr>
          <w:noProof/>
        </w:rPr>
        <w:drawing>
          <wp:inline distT="0" distB="0" distL="0" distR="0" wp14:anchorId="218BACDB" wp14:editId="0599A0D5">
            <wp:extent cx="5943600" cy="354774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943600" cy="3547745"/>
                    </a:xfrm>
                    <a:prstGeom prst="rect">
                      <a:avLst/>
                    </a:prstGeom>
                  </pic:spPr>
                </pic:pic>
              </a:graphicData>
            </a:graphic>
          </wp:inline>
        </w:drawing>
      </w:r>
    </w:p>
    <w:p w:rsidR="00813CB6" w:rsidRDefault="00AA0527">
      <w:r>
        <w:rPr>
          <w:noProof/>
        </w:rPr>
        <w:lastRenderedPageBreak/>
        <w:drawing>
          <wp:inline distT="0" distB="0" distL="0" distR="0">
            <wp:extent cx="5943600" cy="3186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0E8C3.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rsidR="00AA0527" w:rsidRDefault="00AA0527">
      <w:r>
        <w:rPr>
          <w:noProof/>
        </w:rPr>
        <w:drawing>
          <wp:inline distT="0" distB="0" distL="0" distR="0">
            <wp:extent cx="5943600" cy="1614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064AB.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p>
    <w:p w:rsidR="00813CB6" w:rsidRDefault="00813CB6">
      <w:r>
        <w:t xml:space="preserve">The above comparisons show that in terms of the increase in the average figures above, the Southern Food Group has not been doing better </w:t>
      </w:r>
      <w:r w:rsidR="00D65E54">
        <w:t>though</w:t>
      </w:r>
      <w:r>
        <w:t xml:space="preserve"> using Presto device while the Western Foo</w:t>
      </w:r>
      <w:r w:rsidR="00AA0527">
        <w:t>d group was selling at least by 5% better than the con</w:t>
      </w:r>
      <w:r w:rsidR="00D65E54">
        <w:t>trol group. Interestingly, in t</w:t>
      </w:r>
      <w:r w:rsidR="00AA0527">
        <w:t>he Central G</w:t>
      </w:r>
      <w:r w:rsidR="00D65E54">
        <w:t>roup, it seems the restaurants with the presto device was almost like the control group during the year, yet appa</w:t>
      </w:r>
      <w:r w:rsidR="004D77DA">
        <w:t xml:space="preserve">rently having at least 2% more </w:t>
      </w:r>
      <w:proofErr w:type="spellStart"/>
      <w:r w:rsidR="004D77DA">
        <w:t>P</w:t>
      </w:r>
      <w:r w:rsidR="00D65E54">
        <w:t>os_checks</w:t>
      </w:r>
      <w:proofErr w:type="spellEnd"/>
      <w:r w:rsidR="00D65E54">
        <w:t xml:space="preserve"> than the control group during the year.</w:t>
      </w:r>
    </w:p>
    <w:p w:rsidR="00D65E54" w:rsidRDefault="00D65E54">
      <w:r>
        <w:t>Also, very interestingly, within the first 3 months, the Western Food group has witnessed a dramatic better per</w:t>
      </w:r>
      <w:r w:rsidR="004D77DA">
        <w:t xml:space="preserve">formance both in Net Sales and </w:t>
      </w:r>
      <w:proofErr w:type="spellStart"/>
      <w:r w:rsidR="004D77DA">
        <w:t>P</w:t>
      </w:r>
      <w:r>
        <w:t>os_check</w:t>
      </w:r>
      <w:proofErr w:type="spellEnd"/>
      <w:r>
        <w:t xml:space="preserve"> counts. </w:t>
      </w:r>
    </w:p>
    <w:p w:rsidR="00D65E54" w:rsidRDefault="007041FB">
      <w:r>
        <w:t>Meanwhile, as for the labor costs, both Southern Group and the Central Group got a negative cost comparison since around mid-June, though the average labor costs for Western Food Group stayed higher than the control groups.</w:t>
      </w:r>
    </w:p>
    <w:p w:rsidR="00776AA2" w:rsidRDefault="00776AA2"/>
    <w:p w:rsidR="00776AA2" w:rsidRDefault="00776AA2"/>
    <w:p w:rsidR="00776AA2" w:rsidRDefault="00776AA2"/>
    <w:p w:rsidR="00776AA2" w:rsidRDefault="00776AA2"/>
    <w:p w:rsidR="00CC32CD" w:rsidRPr="00CC32CD" w:rsidRDefault="00CC32CD">
      <w:pPr>
        <w:rPr>
          <w:b/>
          <w:sz w:val="36"/>
          <w:szCs w:val="36"/>
        </w:rPr>
      </w:pPr>
      <w:r w:rsidRPr="00CC32CD">
        <w:rPr>
          <w:b/>
          <w:sz w:val="36"/>
          <w:szCs w:val="36"/>
        </w:rPr>
        <w:lastRenderedPageBreak/>
        <w:t>Part 2</w:t>
      </w:r>
    </w:p>
    <w:p w:rsidR="00DA738E" w:rsidRDefault="00DA738E">
      <w:r>
        <w:t>The predictive model for Game Revenue:</w:t>
      </w:r>
    </w:p>
    <w:p w:rsidR="00CC32CD" w:rsidRPr="008526EB" w:rsidRDefault="00CC32CD">
      <w:pPr>
        <w:rPr>
          <w:b/>
          <w:sz w:val="28"/>
          <w:szCs w:val="28"/>
        </w:rPr>
      </w:pPr>
      <w:r w:rsidRPr="008526EB">
        <w:rPr>
          <w:b/>
          <w:sz w:val="28"/>
          <w:szCs w:val="28"/>
        </w:rPr>
        <w:t>If you want to view my predictive model straight ahead, please go to the final page.</w:t>
      </w:r>
    </w:p>
    <w:p w:rsidR="00CC32CD" w:rsidRDefault="00CC32CD">
      <w:r>
        <w:t>The below step is how I try to observe the data and have a better common sense on what happened there.</w:t>
      </w:r>
    </w:p>
    <w:p w:rsidR="00DA738E" w:rsidRDefault="00DA738E">
      <w:r>
        <w:t>Step 1:</w:t>
      </w:r>
    </w:p>
    <w:p w:rsidR="003B71C4" w:rsidRPr="00E14A96" w:rsidRDefault="00E14A96">
      <w:pPr>
        <w:rPr>
          <w:b/>
        </w:rPr>
      </w:pPr>
      <w:r w:rsidRPr="00E14A96">
        <w:rPr>
          <w:b/>
        </w:rPr>
        <w:t>How about each presto device’s revenue amount</w:t>
      </w:r>
      <w:r>
        <w:rPr>
          <w:b/>
        </w:rPr>
        <w:t xml:space="preserve"> and service count</w:t>
      </w:r>
      <w:r w:rsidRPr="00E14A96">
        <w:rPr>
          <w:b/>
        </w:rPr>
        <w:t xml:space="preserve"> in each region?</w:t>
      </w:r>
    </w:p>
    <w:p w:rsidR="007A611A" w:rsidRDefault="00E14A96">
      <w:r>
        <w:t>Below is the graphs show how they perform individually:</w:t>
      </w:r>
    </w:p>
    <w:p w:rsidR="00E14A96" w:rsidRDefault="00E14A96">
      <w:r>
        <w:t>The revenue on each device in its own region is based on .001 in value</w:t>
      </w:r>
    </w:p>
    <w:p w:rsidR="00E14A96" w:rsidRDefault="00E14A96">
      <w:r>
        <w:rPr>
          <w:noProof/>
        </w:rPr>
        <w:drawing>
          <wp:inline distT="0" distB="0" distL="0" distR="0">
            <wp:extent cx="5943600" cy="2958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09427.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rsidR="007A611A" w:rsidRDefault="007A611A">
      <w:r>
        <w:t xml:space="preserve"> </w:t>
      </w:r>
    </w:p>
    <w:p w:rsidR="00DF649A" w:rsidRDefault="00E14A96">
      <w:r>
        <w:t xml:space="preserve">Obviously, the game revenue in return per device has the best result in Southern Group and its business is indeed in need of more presto devices to receive higher overall return. </w:t>
      </w:r>
      <w:r w:rsidR="00526502">
        <w:t>Also, the AVG count of Game Revenue per device each day also shows a declines in Southern Group and Western Food Group. Yet, under this measure, we observe very little differences in each group as for the frequency of people using the device to play games.  Also, the variation in the Western food Group in the counts is obviously the largest in a glance.</w:t>
      </w:r>
    </w:p>
    <w:p w:rsidR="00DF649A" w:rsidRDefault="00DF649A"/>
    <w:p w:rsidR="005700D2" w:rsidRDefault="005700D2"/>
    <w:p w:rsidR="00DF649A" w:rsidRDefault="00DF649A"/>
    <w:p w:rsidR="00DF649A" w:rsidRDefault="00DF649A"/>
    <w:p w:rsidR="00CC32CD" w:rsidRDefault="00CC32CD"/>
    <w:p w:rsidR="00DF649A" w:rsidRDefault="00CC32CD">
      <w:r>
        <w:t>T</w:t>
      </w:r>
      <w:r w:rsidR="00DF649A">
        <w:t>his unit measure is very sensitive to the growth and the potential of the game’s revenue</w:t>
      </w:r>
    </w:p>
    <w:p w:rsidR="00DF649A" w:rsidRDefault="00DF649A">
      <w:r>
        <w:t xml:space="preserve">Below shows the average count of Game revenue and the average revenue of the Game Revenue in each device in its region, </w:t>
      </w:r>
    </w:p>
    <w:p w:rsidR="00DF649A" w:rsidRDefault="00DF649A">
      <w:r>
        <w:t xml:space="preserve"> </w:t>
      </w:r>
      <w:r>
        <w:rPr>
          <w:noProof/>
        </w:rPr>
        <w:drawing>
          <wp:inline distT="0" distB="0" distL="0" distR="0">
            <wp:extent cx="5943600" cy="17837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50966D.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rsidR="00DF649A" w:rsidRDefault="00DF649A">
      <w:r>
        <w:rPr>
          <w:noProof/>
        </w:rPr>
        <w:drawing>
          <wp:inline distT="0" distB="0" distL="0" distR="0">
            <wp:extent cx="5943600" cy="32499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0118C.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rsidR="00DF649A" w:rsidRDefault="00DF649A"/>
    <w:p w:rsidR="00D44EA5" w:rsidRDefault="00DF649A">
      <w:r>
        <w:t xml:space="preserve">Here, </w:t>
      </w:r>
      <w:r w:rsidR="008526EB">
        <w:t>upon 1</w:t>
      </w:r>
      <w:r w:rsidR="008526EB" w:rsidRPr="008526EB">
        <w:rPr>
          <w:vertAlign w:val="superscript"/>
        </w:rPr>
        <w:t>st</w:t>
      </w:r>
      <w:r w:rsidR="008526EB">
        <w:t xml:space="preserve"> quarter in 2015, </w:t>
      </w:r>
      <w:r>
        <w:t xml:space="preserve">we observe a dramatic increase in the average Game revenue and the average count in each device in each region by at least 2 folds </w:t>
      </w:r>
      <w:r w:rsidR="008526EB">
        <w:t xml:space="preserve">compared with that of 2014 </w:t>
      </w:r>
      <w:r>
        <w:t xml:space="preserve">after introducing more </w:t>
      </w:r>
      <w:r w:rsidR="00D44EA5">
        <w:t>presto device to the restaurants</w:t>
      </w:r>
      <w:r w:rsidR="008526EB">
        <w:t xml:space="preserve"> in 2014</w:t>
      </w:r>
      <w:r w:rsidR="00D44EA5">
        <w:t>.</w:t>
      </w:r>
    </w:p>
    <w:p w:rsidR="00447D1A" w:rsidRDefault="00447D1A">
      <w:r>
        <w:lastRenderedPageBreak/>
        <w:t>Thus, we find the “year”, ”</w:t>
      </w:r>
      <w:proofErr w:type="spellStart"/>
      <w:r>
        <w:t>Go_Live_Year</w:t>
      </w:r>
      <w:proofErr w:type="spellEnd"/>
      <w:r>
        <w:t xml:space="preserve">” and “the </w:t>
      </w:r>
      <w:proofErr w:type="spellStart"/>
      <w:r>
        <w:t>presto_device_install</w:t>
      </w:r>
      <w:proofErr w:type="spellEnd"/>
      <w:r>
        <w:t xml:space="preserve">”  are very important to our analysis since it affects how we </w:t>
      </w:r>
      <w:proofErr w:type="spellStart"/>
      <w:r>
        <w:t>valuate</w:t>
      </w:r>
      <w:proofErr w:type="spellEnd"/>
      <w:r>
        <w:t xml:space="preserve"> each region’s performance as reflected in the above or in the “</w:t>
      </w:r>
      <w:proofErr w:type="spellStart"/>
      <w:r>
        <w:t>Observation_table</w:t>
      </w:r>
      <w:proofErr w:type="spellEnd"/>
      <w:r>
        <w:t xml:space="preserve">” in the Restaurant_data.xlsx file. </w:t>
      </w:r>
    </w:p>
    <w:p w:rsidR="00CC32CD" w:rsidRDefault="00CC32CD"/>
    <w:p w:rsidR="00CC32CD" w:rsidRDefault="00CC32CD"/>
    <w:p w:rsidR="00011307" w:rsidRDefault="00CC32CD">
      <w:pPr>
        <w:rPr>
          <w:b/>
          <w:sz w:val="32"/>
          <w:szCs w:val="32"/>
        </w:rPr>
      </w:pPr>
      <w:r w:rsidRPr="0050690D">
        <w:rPr>
          <w:b/>
          <w:sz w:val="32"/>
          <w:szCs w:val="32"/>
        </w:rPr>
        <w:t>Step 2:</w:t>
      </w:r>
      <w:r w:rsidR="00011307">
        <w:rPr>
          <w:b/>
          <w:sz w:val="32"/>
          <w:szCs w:val="32"/>
        </w:rPr>
        <w:t xml:space="preserve"> </w:t>
      </w:r>
    </w:p>
    <w:p w:rsidR="00CC32CD" w:rsidRPr="00011307" w:rsidRDefault="00011307">
      <w:pPr>
        <w:rPr>
          <w:sz w:val="24"/>
          <w:szCs w:val="24"/>
        </w:rPr>
      </w:pPr>
      <w:r w:rsidRPr="00011307">
        <w:rPr>
          <w:sz w:val="24"/>
          <w:szCs w:val="24"/>
        </w:rPr>
        <w:t xml:space="preserve">I use </w:t>
      </w:r>
      <w:proofErr w:type="spellStart"/>
      <w:r w:rsidRPr="00011307">
        <w:rPr>
          <w:sz w:val="24"/>
          <w:szCs w:val="24"/>
        </w:rPr>
        <w:t>ipython</w:t>
      </w:r>
      <w:proofErr w:type="spellEnd"/>
      <w:r w:rsidRPr="00011307">
        <w:rPr>
          <w:sz w:val="24"/>
          <w:szCs w:val="24"/>
        </w:rPr>
        <w:t xml:space="preserve"> notebook for this data model construction. </w:t>
      </w:r>
      <w:bookmarkStart w:id="0" w:name="_GoBack"/>
      <w:bookmarkEnd w:id="0"/>
    </w:p>
    <w:p w:rsidR="00A04287" w:rsidRDefault="00447D1A">
      <w:r>
        <w:t>M</w:t>
      </w:r>
      <w:r w:rsidR="00A04287">
        <w:t>y predictive model could be viewed at “</w:t>
      </w:r>
      <w:proofErr w:type="spellStart"/>
      <w:r w:rsidR="00A04287">
        <w:t>analysis</w:t>
      </w:r>
      <w:r w:rsidR="00CC32CD">
        <w:t>.</w:t>
      </w:r>
      <w:r w:rsidR="00CC32CD" w:rsidRPr="00CC32CD">
        <w:t>ipynb</w:t>
      </w:r>
      <w:proofErr w:type="spellEnd"/>
      <w:r w:rsidR="00A04287">
        <w:t>” and “analysis2</w:t>
      </w:r>
      <w:r w:rsidR="00CC32CD">
        <w:t>.</w:t>
      </w:r>
      <w:r w:rsidR="00CC32CD" w:rsidRPr="00CC32CD">
        <w:t>ipynb</w:t>
      </w:r>
      <w:r w:rsidR="00A04287">
        <w:t xml:space="preserve">” files, though I decide to use the model call “m6” </w:t>
      </w:r>
      <w:r w:rsidR="00CC32CD">
        <w:t>in “</w:t>
      </w:r>
      <w:proofErr w:type="spellStart"/>
      <w:r w:rsidR="00CC32CD">
        <w:t>analysis.ipynb</w:t>
      </w:r>
      <w:proofErr w:type="spellEnd"/>
      <w:r w:rsidR="00CC32CD">
        <w:t xml:space="preserve">” </w:t>
      </w:r>
      <w:r w:rsidR="00A04287">
        <w:t>as my final model for this project, since the model incorporates most of the d</w:t>
      </w:r>
      <w:r w:rsidR="008825BC">
        <w:t>ata information and did not over</w:t>
      </w:r>
      <w:r w:rsidR="00A04287">
        <w:t xml:space="preserve">-fit the </w:t>
      </w:r>
      <w:r w:rsidR="008825BC">
        <w:t xml:space="preserve">data (with </w:t>
      </w:r>
      <w:r w:rsidR="00A04287">
        <w:t xml:space="preserve">a high </w:t>
      </w:r>
      <w:r w:rsidR="00A04287" w:rsidRPr="00A04287">
        <w:t>multi</w:t>
      </w:r>
      <w:r w:rsidR="008825BC">
        <w:t xml:space="preserve">collinearity variance inflation) or under-fit </w:t>
      </w:r>
      <w:r w:rsidR="00A04287">
        <w:t>as it is what happened in the “analysis</w:t>
      </w:r>
      <w:r w:rsidR="008825BC">
        <w:t>”</w:t>
      </w:r>
      <w:r w:rsidR="00A04287">
        <w:t xml:space="preserve"> model where is revealed by the scatter </w:t>
      </w:r>
      <w:r w:rsidR="008825BC">
        <w:t>plot (the pattern was too obvious)</w:t>
      </w:r>
      <w:r w:rsidR="0050690D">
        <w:t>.</w:t>
      </w:r>
    </w:p>
    <w:p w:rsidR="00CC32CD" w:rsidRDefault="0050690D">
      <w:r>
        <w:t>I use Linear-</w:t>
      </w:r>
      <w:r w:rsidR="006B7D0E">
        <w:t xml:space="preserve">regression since it is a continuous data set. </w:t>
      </w:r>
      <w:r>
        <w:t xml:space="preserve"> </w:t>
      </w:r>
    </w:p>
    <w:p w:rsidR="008825BC" w:rsidRDefault="006B7D0E">
      <w:r>
        <w:t>M</w:t>
      </w:r>
      <w:r w:rsidR="008825BC">
        <w:t>y model’s coefficient chart is as below:</w:t>
      </w:r>
    </w:p>
    <w:p w:rsidR="00CC32CD" w:rsidRDefault="00CC32CD">
      <w:r>
        <w:tab/>
        <w:t>X                                  | coefficients</w:t>
      </w:r>
    </w:p>
    <w:p w:rsidR="008825BC" w:rsidRDefault="008825BC">
      <w:r>
        <w:rPr>
          <w:noProof/>
        </w:rPr>
        <w:drawing>
          <wp:inline distT="0" distB="0" distL="0" distR="0">
            <wp:extent cx="2629267" cy="27435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50496C.tmp"/>
                    <pic:cNvPicPr/>
                  </pic:nvPicPr>
                  <pic:blipFill>
                    <a:blip r:embed="rId16">
                      <a:extLst>
                        <a:ext uri="{28A0092B-C50C-407E-A947-70E740481C1C}">
                          <a14:useLocalDpi xmlns:a14="http://schemas.microsoft.com/office/drawing/2010/main" val="0"/>
                        </a:ext>
                      </a:extLst>
                    </a:blip>
                    <a:stretch>
                      <a:fillRect/>
                    </a:stretch>
                  </pic:blipFill>
                  <pic:spPr>
                    <a:xfrm>
                      <a:off x="0" y="0"/>
                      <a:ext cx="2629267" cy="2743583"/>
                    </a:xfrm>
                    <a:prstGeom prst="rect">
                      <a:avLst/>
                    </a:prstGeom>
                  </pic:spPr>
                </pic:pic>
              </a:graphicData>
            </a:graphic>
          </wp:inline>
        </w:drawing>
      </w:r>
    </w:p>
    <w:p w:rsidR="00CC32CD" w:rsidRDefault="00CC32CD">
      <w:r>
        <w:t xml:space="preserve">Y is </w:t>
      </w:r>
      <w:proofErr w:type="spellStart"/>
      <w:r>
        <w:t>Game_Revenue</w:t>
      </w:r>
      <w:proofErr w:type="spellEnd"/>
    </w:p>
    <w:p w:rsidR="008825BC" w:rsidRDefault="008825BC">
      <w:r>
        <w:t>(There is a typo there, [2012</w:t>
      </w:r>
      <w:proofErr w:type="gramStart"/>
      <w:r>
        <w:t>,2014</w:t>
      </w:r>
      <w:proofErr w:type="gramEnd"/>
      <w:r>
        <w:t>] should have been [2012,2014), since it does not include 2014, I am sorry)</w:t>
      </w:r>
    </w:p>
    <w:p w:rsidR="00776AA2" w:rsidRDefault="008825BC">
      <w:r>
        <w:t xml:space="preserve">The above means the </w:t>
      </w:r>
      <w:proofErr w:type="spellStart"/>
      <w:r>
        <w:t>game_revenue’s</w:t>
      </w:r>
      <w:proofErr w:type="spellEnd"/>
      <w:r>
        <w:t xml:space="preserve"> future increase was highly leveraged by the investment between 2012 and 2014, and it suggests more </w:t>
      </w:r>
      <w:r w:rsidR="00776AA2">
        <w:t xml:space="preserve">revenue growth happening </w:t>
      </w:r>
      <w:r>
        <w:t>in Q</w:t>
      </w:r>
      <w:r w:rsidR="00776AA2">
        <w:t xml:space="preserve">uarter </w:t>
      </w:r>
      <w:r>
        <w:t>3 and Q</w:t>
      </w:r>
      <w:r w:rsidR="00776AA2">
        <w:t xml:space="preserve">uarter </w:t>
      </w:r>
      <w:r>
        <w:t>4</w:t>
      </w:r>
      <w:r w:rsidR="00776AA2">
        <w:t xml:space="preserve">, whereas </w:t>
      </w:r>
      <w:proofErr w:type="spellStart"/>
      <w:r w:rsidR="00776AA2">
        <w:t>Presto_Devices_installed</w:t>
      </w:r>
      <w:proofErr w:type="spellEnd"/>
      <w:r w:rsidR="00776AA2">
        <w:t xml:space="preserve"> introduction to the market is very important. Also, the revenue to the </w:t>
      </w:r>
      <w:proofErr w:type="spellStart"/>
      <w:r w:rsidR="00776AA2">
        <w:t>Western_Food_Group</w:t>
      </w:r>
      <w:proofErr w:type="spellEnd"/>
      <w:r w:rsidR="00776AA2">
        <w:t xml:space="preserve"> is also </w:t>
      </w:r>
      <w:r w:rsidR="008526EB">
        <w:t xml:space="preserve">vital but not for </w:t>
      </w:r>
      <w:proofErr w:type="spellStart"/>
      <w:r w:rsidR="008526EB">
        <w:t>Southern_</w:t>
      </w:r>
      <w:proofErr w:type="gramStart"/>
      <w:r w:rsidR="008526EB">
        <w:t>Group</w:t>
      </w:r>
      <w:proofErr w:type="spellEnd"/>
      <w:r w:rsidR="008526EB">
        <w:t>(</w:t>
      </w:r>
      <w:proofErr w:type="gramEnd"/>
      <w:r w:rsidR="008526EB">
        <w:t>too saturated maybe?).</w:t>
      </w:r>
    </w:p>
    <w:p w:rsidR="00DF649A" w:rsidRDefault="00DF649A"/>
    <w:p w:rsidR="00377FCF" w:rsidRDefault="0050690D">
      <w:r>
        <w:t xml:space="preserve">Thank you very much for your time and patience at reading this. </w:t>
      </w:r>
    </w:p>
    <w:p w:rsidR="00377FCF" w:rsidRDefault="00377FCF"/>
    <w:p w:rsidR="007041FB" w:rsidRDefault="007041FB"/>
    <w:p w:rsidR="00D65E54" w:rsidRDefault="00D65E54"/>
    <w:sectPr w:rsidR="00D65E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CF6730"/>
    <w:multiLevelType w:val="hybridMultilevel"/>
    <w:tmpl w:val="7340C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9944C8"/>
    <w:multiLevelType w:val="hybridMultilevel"/>
    <w:tmpl w:val="FE42D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52"/>
    <w:rsid w:val="00011307"/>
    <w:rsid w:val="00202A48"/>
    <w:rsid w:val="00283C73"/>
    <w:rsid w:val="002F502C"/>
    <w:rsid w:val="00377FCF"/>
    <w:rsid w:val="003B71C4"/>
    <w:rsid w:val="00447D1A"/>
    <w:rsid w:val="004D38FF"/>
    <w:rsid w:val="004D77DA"/>
    <w:rsid w:val="0050690D"/>
    <w:rsid w:val="00526502"/>
    <w:rsid w:val="00560F06"/>
    <w:rsid w:val="005700D2"/>
    <w:rsid w:val="006B7D0E"/>
    <w:rsid w:val="007041FB"/>
    <w:rsid w:val="007542D7"/>
    <w:rsid w:val="00755E2D"/>
    <w:rsid w:val="00776AA2"/>
    <w:rsid w:val="00787F87"/>
    <w:rsid w:val="007A611A"/>
    <w:rsid w:val="007B3058"/>
    <w:rsid w:val="007E1921"/>
    <w:rsid w:val="007E3673"/>
    <w:rsid w:val="00813CB6"/>
    <w:rsid w:val="008526EB"/>
    <w:rsid w:val="008825BC"/>
    <w:rsid w:val="008874F1"/>
    <w:rsid w:val="008D4732"/>
    <w:rsid w:val="00A04287"/>
    <w:rsid w:val="00A40B13"/>
    <w:rsid w:val="00AA0527"/>
    <w:rsid w:val="00B97E86"/>
    <w:rsid w:val="00C11AD9"/>
    <w:rsid w:val="00CC32CD"/>
    <w:rsid w:val="00D44EA5"/>
    <w:rsid w:val="00D65E54"/>
    <w:rsid w:val="00D80552"/>
    <w:rsid w:val="00DA738E"/>
    <w:rsid w:val="00DF649A"/>
    <w:rsid w:val="00E14A96"/>
    <w:rsid w:val="00E27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9A1D2E-9FFA-4FC8-8E10-F1E308B3F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2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98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7.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6.tmp"/><Relationship Id="rId5" Type="http://schemas.openxmlformats.org/officeDocument/2006/relationships/image" Target="media/image1.tmp"/><Relationship Id="rId15" Type="http://schemas.openxmlformats.org/officeDocument/2006/relationships/image" Target="media/image10.tmp"/><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9.tmp"/></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[Restaurant_Data.xlsx]control group table!PivotTable2</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'control group table'!$B$7:$B$8</c:f>
              <c:strCache>
                <c:ptCount val="1"/>
                <c:pt idx="0">
                  <c:v>Central Foods</c:v>
                </c:pt>
              </c:strCache>
            </c:strRef>
          </c:tx>
          <c:spPr>
            <a:ln w="28575" cap="rnd">
              <a:solidFill>
                <a:schemeClr val="accent1"/>
              </a:solidFill>
              <a:round/>
            </a:ln>
            <a:effectLst/>
          </c:spPr>
          <c:marker>
            <c:symbol val="none"/>
          </c:marker>
          <c:cat>
            <c:multiLvlStrRef>
              <c:f>'control group table'!$A$9:$A$47</c:f>
              <c:multiLvlStrCache>
                <c:ptCount val="36"/>
                <c:lvl>
                  <c:pt idx="0">
                    <c:v>1</c:v>
                  </c:pt>
                  <c:pt idx="1">
                    <c:v>2</c:v>
                  </c:pt>
                  <c:pt idx="2">
                    <c:v>3</c:v>
                  </c:pt>
                  <c:pt idx="3">
                    <c:v>4</c:v>
                  </c:pt>
                  <c:pt idx="4">
                    <c:v>5</c:v>
                  </c:pt>
                  <c:pt idx="5">
                    <c:v>6</c:v>
                  </c:pt>
                  <c:pt idx="6">
                    <c:v>7</c:v>
                  </c:pt>
                  <c:pt idx="7">
                    <c:v>8</c:v>
                  </c:pt>
                  <c:pt idx="8">
                    <c:v>9</c:v>
                  </c:pt>
                  <c:pt idx="9">
                    <c:v>10</c:v>
                  </c:pt>
                  <c:pt idx="10">
                    <c:v>11</c:v>
                  </c:pt>
                  <c:pt idx="11">
                    <c:v>12</c:v>
                  </c:pt>
                  <c:pt idx="12">
                    <c:v>1</c:v>
                  </c:pt>
                  <c:pt idx="13">
                    <c:v>2</c:v>
                  </c:pt>
                  <c:pt idx="14">
                    <c:v>3</c:v>
                  </c:pt>
                  <c:pt idx="15">
                    <c:v>4</c:v>
                  </c:pt>
                  <c:pt idx="16">
                    <c:v>5</c:v>
                  </c:pt>
                  <c:pt idx="17">
                    <c:v>6</c:v>
                  </c:pt>
                  <c:pt idx="18">
                    <c:v>7</c:v>
                  </c:pt>
                  <c:pt idx="19">
                    <c:v>8</c:v>
                  </c:pt>
                  <c:pt idx="20">
                    <c:v>9</c:v>
                  </c:pt>
                  <c:pt idx="21">
                    <c:v>10</c:v>
                  </c:pt>
                  <c:pt idx="22">
                    <c:v>11</c:v>
                  </c:pt>
                  <c:pt idx="23">
                    <c:v>12</c:v>
                  </c:pt>
                  <c:pt idx="24">
                    <c:v>1</c:v>
                  </c:pt>
                  <c:pt idx="25">
                    <c:v>2</c:v>
                  </c:pt>
                  <c:pt idx="26">
                    <c:v>3</c:v>
                  </c:pt>
                  <c:pt idx="27">
                    <c:v>4</c:v>
                  </c:pt>
                  <c:pt idx="28">
                    <c:v>5</c:v>
                  </c:pt>
                  <c:pt idx="29">
                    <c:v>6</c:v>
                  </c:pt>
                  <c:pt idx="30">
                    <c:v>7</c:v>
                  </c:pt>
                  <c:pt idx="31">
                    <c:v>8</c:v>
                  </c:pt>
                  <c:pt idx="32">
                    <c:v>9</c:v>
                  </c:pt>
                  <c:pt idx="33">
                    <c:v>10</c:v>
                  </c:pt>
                  <c:pt idx="34">
                    <c:v>11</c:v>
                  </c:pt>
                  <c:pt idx="35">
                    <c:v>12</c:v>
                  </c:pt>
                </c:lvl>
                <c:lvl>
                  <c:pt idx="0">
                    <c:v>Average of Monthly AVG NET SALES</c:v>
                  </c:pt>
                  <c:pt idx="12">
                    <c:v>Average of Monthly AVG POS checks</c:v>
                  </c:pt>
                  <c:pt idx="24">
                    <c:v>Average of Monthly AVG Labor cost</c:v>
                  </c:pt>
                </c:lvl>
              </c:multiLvlStrCache>
            </c:multiLvlStrRef>
          </c:cat>
          <c:val>
            <c:numRef>
              <c:f>'control group table'!$B$9:$B$47</c:f>
              <c:numCache>
                <c:formatCode>General</c:formatCode>
                <c:ptCount val="36"/>
                <c:pt idx="0">
                  <c:v>3060.8100358422939</c:v>
                </c:pt>
                <c:pt idx="1">
                  <c:v>3139.5873015873017</c:v>
                </c:pt>
                <c:pt idx="2">
                  <c:v>3375.2007168458781</c:v>
                </c:pt>
                <c:pt idx="3">
                  <c:v>3188.7222222222217</c:v>
                </c:pt>
                <c:pt idx="4">
                  <c:v>3237.1146953405018</c:v>
                </c:pt>
                <c:pt idx="5">
                  <c:v>3143.715070242657</c:v>
                </c:pt>
                <c:pt idx="6">
                  <c:v>3043.2377538829151</c:v>
                </c:pt>
                <c:pt idx="7">
                  <c:v>3241.6559139784949</c:v>
                </c:pt>
                <c:pt idx="8">
                  <c:v>2568.5481481481484</c:v>
                </c:pt>
                <c:pt idx="9">
                  <c:v>2671.2508960573477</c:v>
                </c:pt>
                <c:pt idx="10">
                  <c:v>2782.6379310344828</c:v>
                </c:pt>
                <c:pt idx="11">
                  <c:v>2926.7541666666666</c:v>
                </c:pt>
                <c:pt idx="12">
                  <c:v>142.57706093189961</c:v>
                </c:pt>
                <c:pt idx="13">
                  <c:v>145.73809523809524</c:v>
                </c:pt>
                <c:pt idx="14">
                  <c:v>155.37275985663081</c:v>
                </c:pt>
                <c:pt idx="15">
                  <c:v>143.6925925925926</c:v>
                </c:pt>
                <c:pt idx="16">
                  <c:v>142.92473118279568</c:v>
                </c:pt>
                <c:pt idx="17">
                  <c:v>138.44955300127714</c:v>
                </c:pt>
                <c:pt idx="18">
                  <c:v>135.01780167264039</c:v>
                </c:pt>
                <c:pt idx="19">
                  <c:v>145.46594982078852</c:v>
                </c:pt>
                <c:pt idx="20">
                  <c:v>118.84814814814816</c:v>
                </c:pt>
                <c:pt idx="21">
                  <c:v>126.98494623655915</c:v>
                </c:pt>
                <c:pt idx="22">
                  <c:v>125.27586206896552</c:v>
                </c:pt>
                <c:pt idx="23">
                  <c:v>129.95833333333334</c:v>
                </c:pt>
                <c:pt idx="24">
                  <c:v>673.88741935483881</c:v>
                </c:pt>
                <c:pt idx="25">
                  <c:v>660.21960317460321</c:v>
                </c:pt>
                <c:pt idx="26">
                  <c:v>720.84630824372755</c:v>
                </c:pt>
                <c:pt idx="27">
                  <c:v>692.19351851851843</c:v>
                </c:pt>
                <c:pt idx="28">
                  <c:v>692.82523297491048</c:v>
                </c:pt>
                <c:pt idx="29">
                  <c:v>674.2361366538953</c:v>
                </c:pt>
                <c:pt idx="30">
                  <c:v>576.84802508960581</c:v>
                </c:pt>
                <c:pt idx="31">
                  <c:v>585.19433691756285</c:v>
                </c:pt>
                <c:pt idx="32">
                  <c:v>520.17192592592596</c:v>
                </c:pt>
                <c:pt idx="33">
                  <c:v>504.70909677419354</c:v>
                </c:pt>
                <c:pt idx="34">
                  <c:v>519.71862068965515</c:v>
                </c:pt>
                <c:pt idx="35">
                  <c:v>512.70341666666661</c:v>
                </c:pt>
              </c:numCache>
            </c:numRef>
          </c:val>
          <c:smooth val="0"/>
        </c:ser>
        <c:ser>
          <c:idx val="1"/>
          <c:order val="1"/>
          <c:tx>
            <c:strRef>
              <c:f>'control group table'!$C$7:$C$8</c:f>
              <c:strCache>
                <c:ptCount val="1"/>
                <c:pt idx="0">
                  <c:v>Southern Group</c:v>
                </c:pt>
              </c:strCache>
            </c:strRef>
          </c:tx>
          <c:spPr>
            <a:ln w="28575" cap="rnd">
              <a:solidFill>
                <a:schemeClr val="accent2"/>
              </a:solidFill>
              <a:round/>
            </a:ln>
            <a:effectLst/>
          </c:spPr>
          <c:marker>
            <c:symbol val="none"/>
          </c:marker>
          <c:cat>
            <c:multiLvlStrRef>
              <c:f>'control group table'!$A$9:$A$47</c:f>
              <c:multiLvlStrCache>
                <c:ptCount val="36"/>
                <c:lvl>
                  <c:pt idx="0">
                    <c:v>1</c:v>
                  </c:pt>
                  <c:pt idx="1">
                    <c:v>2</c:v>
                  </c:pt>
                  <c:pt idx="2">
                    <c:v>3</c:v>
                  </c:pt>
                  <c:pt idx="3">
                    <c:v>4</c:v>
                  </c:pt>
                  <c:pt idx="4">
                    <c:v>5</c:v>
                  </c:pt>
                  <c:pt idx="5">
                    <c:v>6</c:v>
                  </c:pt>
                  <c:pt idx="6">
                    <c:v>7</c:v>
                  </c:pt>
                  <c:pt idx="7">
                    <c:v>8</c:v>
                  </c:pt>
                  <c:pt idx="8">
                    <c:v>9</c:v>
                  </c:pt>
                  <c:pt idx="9">
                    <c:v>10</c:v>
                  </c:pt>
                  <c:pt idx="10">
                    <c:v>11</c:v>
                  </c:pt>
                  <c:pt idx="11">
                    <c:v>12</c:v>
                  </c:pt>
                  <c:pt idx="12">
                    <c:v>1</c:v>
                  </c:pt>
                  <c:pt idx="13">
                    <c:v>2</c:v>
                  </c:pt>
                  <c:pt idx="14">
                    <c:v>3</c:v>
                  </c:pt>
                  <c:pt idx="15">
                    <c:v>4</c:v>
                  </c:pt>
                  <c:pt idx="16">
                    <c:v>5</c:v>
                  </c:pt>
                  <c:pt idx="17">
                    <c:v>6</c:v>
                  </c:pt>
                  <c:pt idx="18">
                    <c:v>7</c:v>
                  </c:pt>
                  <c:pt idx="19">
                    <c:v>8</c:v>
                  </c:pt>
                  <c:pt idx="20">
                    <c:v>9</c:v>
                  </c:pt>
                  <c:pt idx="21">
                    <c:v>10</c:v>
                  </c:pt>
                  <c:pt idx="22">
                    <c:v>11</c:v>
                  </c:pt>
                  <c:pt idx="23">
                    <c:v>12</c:v>
                  </c:pt>
                  <c:pt idx="24">
                    <c:v>1</c:v>
                  </c:pt>
                  <c:pt idx="25">
                    <c:v>2</c:v>
                  </c:pt>
                  <c:pt idx="26">
                    <c:v>3</c:v>
                  </c:pt>
                  <c:pt idx="27">
                    <c:v>4</c:v>
                  </c:pt>
                  <c:pt idx="28">
                    <c:v>5</c:v>
                  </c:pt>
                  <c:pt idx="29">
                    <c:v>6</c:v>
                  </c:pt>
                  <c:pt idx="30">
                    <c:v>7</c:v>
                  </c:pt>
                  <c:pt idx="31">
                    <c:v>8</c:v>
                  </c:pt>
                  <c:pt idx="32">
                    <c:v>9</c:v>
                  </c:pt>
                  <c:pt idx="33">
                    <c:v>10</c:v>
                  </c:pt>
                  <c:pt idx="34">
                    <c:v>11</c:v>
                  </c:pt>
                  <c:pt idx="35">
                    <c:v>12</c:v>
                  </c:pt>
                </c:lvl>
                <c:lvl>
                  <c:pt idx="0">
                    <c:v>Average of Monthly AVG NET SALES</c:v>
                  </c:pt>
                  <c:pt idx="12">
                    <c:v>Average of Monthly AVG POS checks</c:v>
                  </c:pt>
                  <c:pt idx="24">
                    <c:v>Average of Monthly AVG Labor cost</c:v>
                  </c:pt>
                </c:lvl>
              </c:multiLvlStrCache>
            </c:multiLvlStrRef>
          </c:cat>
          <c:val>
            <c:numRef>
              <c:f>'control group table'!$C$9:$C$47</c:f>
              <c:numCache>
                <c:formatCode>General</c:formatCode>
                <c:ptCount val="36"/>
                <c:pt idx="0">
                  <c:v>3157.5437788018435</c:v>
                </c:pt>
                <c:pt idx="1">
                  <c:v>3376.457105064248</c:v>
                </c:pt>
                <c:pt idx="2">
                  <c:v>3399.8522273425501</c:v>
                </c:pt>
                <c:pt idx="3">
                  <c:v>3122.6190476190473</c:v>
                </c:pt>
                <c:pt idx="4">
                  <c:v>3204.6175115207375</c:v>
                </c:pt>
                <c:pt idx="5">
                  <c:v>3174.333333333333</c:v>
                </c:pt>
                <c:pt idx="6">
                  <c:v>3154.2165898617518</c:v>
                </c:pt>
                <c:pt idx="7">
                  <c:v>3520.691244239631</c:v>
                </c:pt>
                <c:pt idx="8">
                  <c:v>2860.7190476190476</c:v>
                </c:pt>
                <c:pt idx="9">
                  <c:v>3002.1290322580649</c:v>
                </c:pt>
                <c:pt idx="10">
                  <c:v>2976.8719211822659</c:v>
                </c:pt>
                <c:pt idx="11">
                  <c:v>2920.7523809523809</c:v>
                </c:pt>
                <c:pt idx="12">
                  <c:v>150.81105990783411</c:v>
                </c:pt>
                <c:pt idx="13">
                  <c:v>160.29743008314435</c:v>
                </c:pt>
                <c:pt idx="14">
                  <c:v>159.01182795698924</c:v>
                </c:pt>
                <c:pt idx="15">
                  <c:v>147.97142857142856</c:v>
                </c:pt>
                <c:pt idx="16">
                  <c:v>145.41013824884791</c:v>
                </c:pt>
                <c:pt idx="17">
                  <c:v>142.42380952380952</c:v>
                </c:pt>
                <c:pt idx="18">
                  <c:v>142.66820276497694</c:v>
                </c:pt>
                <c:pt idx="19">
                  <c:v>160.23502304147465</c:v>
                </c:pt>
                <c:pt idx="20">
                  <c:v>134.63333333333335</c:v>
                </c:pt>
                <c:pt idx="21">
                  <c:v>144.83410138248848</c:v>
                </c:pt>
                <c:pt idx="22">
                  <c:v>139.2807881773399</c:v>
                </c:pt>
                <c:pt idx="23">
                  <c:v>132.38095238095238</c:v>
                </c:pt>
                <c:pt idx="24">
                  <c:v>667.43410138248851</c:v>
                </c:pt>
                <c:pt idx="25">
                  <c:v>652.28441421012849</c:v>
                </c:pt>
                <c:pt idx="26">
                  <c:v>661.77062980030735</c:v>
                </c:pt>
                <c:pt idx="27">
                  <c:v>618.06909523809531</c:v>
                </c:pt>
                <c:pt idx="28">
                  <c:v>619.11294930875579</c:v>
                </c:pt>
                <c:pt idx="29">
                  <c:v>631.0526666666666</c:v>
                </c:pt>
                <c:pt idx="30">
                  <c:v>627.54585253456219</c:v>
                </c:pt>
                <c:pt idx="31">
                  <c:v>668.69516129032252</c:v>
                </c:pt>
                <c:pt idx="32">
                  <c:v>621.96485714285711</c:v>
                </c:pt>
                <c:pt idx="33">
                  <c:v>647.28451612903234</c:v>
                </c:pt>
                <c:pt idx="34">
                  <c:v>640.43507389162562</c:v>
                </c:pt>
                <c:pt idx="35">
                  <c:v>611.3787142857143</c:v>
                </c:pt>
              </c:numCache>
            </c:numRef>
          </c:val>
          <c:smooth val="0"/>
        </c:ser>
        <c:ser>
          <c:idx val="2"/>
          <c:order val="2"/>
          <c:tx>
            <c:strRef>
              <c:f>'control group table'!$D$7:$D$8</c:f>
              <c:strCache>
                <c:ptCount val="1"/>
                <c:pt idx="0">
                  <c:v>Western Food Group</c:v>
                </c:pt>
              </c:strCache>
            </c:strRef>
          </c:tx>
          <c:spPr>
            <a:ln w="28575" cap="rnd">
              <a:solidFill>
                <a:schemeClr val="accent3"/>
              </a:solidFill>
              <a:round/>
            </a:ln>
            <a:effectLst/>
          </c:spPr>
          <c:marker>
            <c:symbol val="none"/>
          </c:marker>
          <c:cat>
            <c:multiLvlStrRef>
              <c:f>'control group table'!$A$9:$A$47</c:f>
              <c:multiLvlStrCache>
                <c:ptCount val="36"/>
                <c:lvl>
                  <c:pt idx="0">
                    <c:v>1</c:v>
                  </c:pt>
                  <c:pt idx="1">
                    <c:v>2</c:v>
                  </c:pt>
                  <c:pt idx="2">
                    <c:v>3</c:v>
                  </c:pt>
                  <c:pt idx="3">
                    <c:v>4</c:v>
                  </c:pt>
                  <c:pt idx="4">
                    <c:v>5</c:v>
                  </c:pt>
                  <c:pt idx="5">
                    <c:v>6</c:v>
                  </c:pt>
                  <c:pt idx="6">
                    <c:v>7</c:v>
                  </c:pt>
                  <c:pt idx="7">
                    <c:v>8</c:v>
                  </c:pt>
                  <c:pt idx="8">
                    <c:v>9</c:v>
                  </c:pt>
                  <c:pt idx="9">
                    <c:v>10</c:v>
                  </c:pt>
                  <c:pt idx="10">
                    <c:v>11</c:v>
                  </c:pt>
                  <c:pt idx="11">
                    <c:v>12</c:v>
                  </c:pt>
                  <c:pt idx="12">
                    <c:v>1</c:v>
                  </c:pt>
                  <c:pt idx="13">
                    <c:v>2</c:v>
                  </c:pt>
                  <c:pt idx="14">
                    <c:v>3</c:v>
                  </c:pt>
                  <c:pt idx="15">
                    <c:v>4</c:v>
                  </c:pt>
                  <c:pt idx="16">
                    <c:v>5</c:v>
                  </c:pt>
                  <c:pt idx="17">
                    <c:v>6</c:v>
                  </c:pt>
                  <c:pt idx="18">
                    <c:v>7</c:v>
                  </c:pt>
                  <c:pt idx="19">
                    <c:v>8</c:v>
                  </c:pt>
                  <c:pt idx="20">
                    <c:v>9</c:v>
                  </c:pt>
                  <c:pt idx="21">
                    <c:v>10</c:v>
                  </c:pt>
                  <c:pt idx="22">
                    <c:v>11</c:v>
                  </c:pt>
                  <c:pt idx="23">
                    <c:v>12</c:v>
                  </c:pt>
                  <c:pt idx="24">
                    <c:v>1</c:v>
                  </c:pt>
                  <c:pt idx="25">
                    <c:v>2</c:v>
                  </c:pt>
                  <c:pt idx="26">
                    <c:v>3</c:v>
                  </c:pt>
                  <c:pt idx="27">
                    <c:v>4</c:v>
                  </c:pt>
                  <c:pt idx="28">
                    <c:v>5</c:v>
                  </c:pt>
                  <c:pt idx="29">
                    <c:v>6</c:v>
                  </c:pt>
                  <c:pt idx="30">
                    <c:v>7</c:v>
                  </c:pt>
                  <c:pt idx="31">
                    <c:v>8</c:v>
                  </c:pt>
                  <c:pt idx="32">
                    <c:v>9</c:v>
                  </c:pt>
                  <c:pt idx="33">
                    <c:v>10</c:v>
                  </c:pt>
                  <c:pt idx="34">
                    <c:v>11</c:v>
                  </c:pt>
                  <c:pt idx="35">
                    <c:v>12</c:v>
                  </c:pt>
                </c:lvl>
                <c:lvl>
                  <c:pt idx="0">
                    <c:v>Average of Monthly AVG NET SALES</c:v>
                  </c:pt>
                  <c:pt idx="12">
                    <c:v>Average of Monthly AVG POS checks</c:v>
                  </c:pt>
                  <c:pt idx="24">
                    <c:v>Average of Monthly AVG Labor cost</c:v>
                  </c:pt>
                </c:lvl>
              </c:multiLvlStrCache>
            </c:multiLvlStrRef>
          </c:cat>
          <c:val>
            <c:numRef>
              <c:f>'control group table'!$D$9:$D$47</c:f>
              <c:numCache>
                <c:formatCode>General</c:formatCode>
                <c:ptCount val="36"/>
                <c:pt idx="0">
                  <c:v>2795.3465053763448</c:v>
                </c:pt>
                <c:pt idx="1">
                  <c:v>2971.0063657407404</c:v>
                </c:pt>
                <c:pt idx="2">
                  <c:v>3197.5569892473122</c:v>
                </c:pt>
                <c:pt idx="3">
                  <c:v>3025.0592008757521</c:v>
                </c:pt>
                <c:pt idx="4">
                  <c:v>3121.205086192183</c:v>
                </c:pt>
                <c:pt idx="5">
                  <c:v>3047.1761083743845</c:v>
                </c:pt>
                <c:pt idx="6">
                  <c:v>2968.057733664185</c:v>
                </c:pt>
                <c:pt idx="7">
                  <c:v>3222.6997518610419</c:v>
                </c:pt>
                <c:pt idx="8">
                  <c:v>2614.3652421652419</c:v>
                </c:pt>
                <c:pt idx="9">
                  <c:v>2854.661290322581</c:v>
                </c:pt>
                <c:pt idx="10">
                  <c:v>2756.4568965517242</c:v>
                </c:pt>
                <c:pt idx="11">
                  <c:v>2875.460265700483</c:v>
                </c:pt>
                <c:pt idx="12">
                  <c:v>129.1168682795699</c:v>
                </c:pt>
                <c:pt idx="13">
                  <c:v>134.15527534113059</c:v>
                </c:pt>
                <c:pt idx="14">
                  <c:v>144.09247311827954</c:v>
                </c:pt>
                <c:pt idx="15">
                  <c:v>134.3773234811166</c:v>
                </c:pt>
                <c:pt idx="16">
                  <c:v>132.91355180064858</c:v>
                </c:pt>
                <c:pt idx="17">
                  <c:v>130.77159277504106</c:v>
                </c:pt>
                <c:pt idx="18">
                  <c:v>129.50024813895783</c:v>
                </c:pt>
                <c:pt idx="19">
                  <c:v>141.74441687344913</c:v>
                </c:pt>
                <c:pt idx="20">
                  <c:v>118.16324786324786</c:v>
                </c:pt>
                <c:pt idx="21">
                  <c:v>130.0779569892473</c:v>
                </c:pt>
                <c:pt idx="22">
                  <c:v>121.52298850574714</c:v>
                </c:pt>
                <c:pt idx="23">
                  <c:v>124.97958937198068</c:v>
                </c:pt>
                <c:pt idx="24">
                  <c:v>598.63986925403219</c:v>
                </c:pt>
                <c:pt idx="25">
                  <c:v>591.52109322438048</c:v>
                </c:pt>
                <c:pt idx="26">
                  <c:v>646.09598709677425</c:v>
                </c:pt>
                <c:pt idx="27">
                  <c:v>637.83198554679802</c:v>
                </c:pt>
                <c:pt idx="28">
                  <c:v>663.83957542584074</c:v>
                </c:pt>
                <c:pt idx="29">
                  <c:v>630.62848257799669</c:v>
                </c:pt>
                <c:pt idx="30">
                  <c:v>592.51982440860218</c:v>
                </c:pt>
                <c:pt idx="31">
                  <c:v>617.45759751861056</c:v>
                </c:pt>
                <c:pt idx="32">
                  <c:v>565.18072193732201</c:v>
                </c:pt>
                <c:pt idx="33">
                  <c:v>586.682482795699</c:v>
                </c:pt>
                <c:pt idx="34">
                  <c:v>579.32443160919547</c:v>
                </c:pt>
                <c:pt idx="35">
                  <c:v>558.60117448067638</c:v>
                </c:pt>
              </c:numCache>
            </c:numRef>
          </c:val>
          <c:smooth val="0"/>
        </c:ser>
        <c:dLbls>
          <c:showLegendKey val="0"/>
          <c:showVal val="0"/>
          <c:showCatName val="0"/>
          <c:showSerName val="0"/>
          <c:showPercent val="0"/>
          <c:showBubbleSize val="0"/>
        </c:dLbls>
        <c:smooth val="0"/>
        <c:axId val="-890213360"/>
        <c:axId val="-890223152"/>
      </c:lineChart>
      <c:catAx>
        <c:axId val="-89021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0223152"/>
        <c:crosses val="autoZero"/>
        <c:auto val="1"/>
        <c:lblAlgn val="ctr"/>
        <c:lblOffset val="100"/>
        <c:noMultiLvlLbl val="0"/>
      </c:catAx>
      <c:valAx>
        <c:axId val="-89022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02133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1322</TotalTime>
  <Pages>9</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Chenxi Yu</dc:creator>
  <cp:keywords/>
  <dc:description/>
  <cp:lastModifiedBy>Chenxi Yu</cp:lastModifiedBy>
  <cp:revision>8</cp:revision>
  <dcterms:created xsi:type="dcterms:W3CDTF">2015-11-14T20:50:00Z</dcterms:created>
  <dcterms:modified xsi:type="dcterms:W3CDTF">2015-11-16T06:49:00Z</dcterms:modified>
</cp:coreProperties>
</file>