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Default="00271B66" w:rsidP="00271B66">
      <w:pPr>
        <w:bidi/>
        <w:rPr>
          <w:rtl/>
        </w:rPr>
      </w:pPr>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Fonts w:hint="cs"/>
          <w:rtl/>
        </w:rPr>
      </w:pPr>
      <w:r>
        <w:rPr>
          <w:rFonts w:hint="cs"/>
          <w:rtl/>
        </w:rPr>
        <w:t>כל הפעולות אשר מבוצעות בחלק זה הינן מופרדות אחת מהשניה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יקחו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מגיבילים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Fonts w:hint="cs"/>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Fonts w:hint="cs"/>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Fonts w:hint="cs"/>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Fonts w:hint="cs"/>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TextOperations.Document getNextDocument()</w:t>
      </w:r>
    </w:p>
    <w:p w:rsidR="001A7544" w:rsidRDefault="001A7544" w:rsidP="001A7544">
      <w:pPr>
        <w:bidi/>
        <w:ind w:left="720"/>
        <w:rPr>
          <w:rtl/>
        </w:rPr>
      </w:pPr>
    </w:p>
    <w:p w:rsidR="001A7544" w:rsidRDefault="001A7544" w:rsidP="001A7544">
      <w:pPr>
        <w:bidi/>
        <w:ind w:left="720"/>
        <w:rPr>
          <w:rFonts w:hint="cs"/>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וכו'..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boolean </w:t>
      </w:r>
      <w:r>
        <w:rPr>
          <w:color w:val="000000"/>
          <w:sz w:val="18"/>
          <w:szCs w:val="18"/>
        </w:rPr>
        <w:t>hasNext()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getPath()</w:t>
      </w:r>
    </w:p>
    <w:p w:rsidR="003E711D" w:rsidRDefault="003E711D" w:rsidP="003E711D">
      <w:pPr>
        <w:bidi/>
        <w:ind w:firstLine="720"/>
        <w:rPr>
          <w:rFonts w:hint="cs"/>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getID() </w:t>
      </w:r>
    </w:p>
    <w:p w:rsidR="003E711D" w:rsidRDefault="003E711D" w:rsidP="003E711D">
      <w:pPr>
        <w:jc w:val="right"/>
        <w:rPr>
          <w:rFonts w:hint="cs"/>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String getHeader()</w:t>
      </w:r>
    </w:p>
    <w:p w:rsidR="003E711D" w:rsidRDefault="003E711D" w:rsidP="003E711D">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getDate()</w:t>
      </w:r>
    </w:p>
    <w:p w:rsidR="003E711D" w:rsidRPr="003E711D" w:rsidRDefault="003E711D" w:rsidP="003E711D">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getText()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w:t>
      </w:r>
      <w:r>
        <w:rPr>
          <w:rFonts w:asciiTheme="minorHAnsi" w:eastAsiaTheme="minorHAnsi" w:hAnsiTheme="minorHAnsi" w:cstheme="minorBidi"/>
          <w:sz w:val="22"/>
          <w:szCs w:val="22"/>
        </w:rPr>
        <w:t>t</w:t>
      </w:r>
      <w:r>
        <w:rPr>
          <w:rFonts w:asciiTheme="minorHAnsi" w:eastAsiaTheme="minorHAnsi" w:hAnsiTheme="minorHAnsi" w:cstheme="minorBidi" w:hint="cs"/>
          <w:sz w:val="22"/>
          <w:szCs w:val="22"/>
          <w:rtl/>
        </w:rPr>
        <w:t xml:space="preserve"> וגם </w:t>
      </w:r>
      <w:r>
        <w:rPr>
          <w:rFonts w:asciiTheme="minorHAnsi" w:eastAsiaTheme="minorHAnsi" w:hAnsiTheme="minorHAnsi" w:cstheme="minorBidi" w:hint="cs"/>
          <w:sz w:val="22"/>
          <w:szCs w:val="22"/>
          <w:rtl/>
        </w:rPr>
        <w:t>מסוג יצרן של אובייקטים מסוג</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String toString()</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Term getTerm()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String getDocumentID()</w:t>
      </w:r>
    </w:p>
    <w:p w:rsidR="00F808A5" w:rsidRDefault="00F808A5" w:rsidP="00F808A5">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addToFrequency(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r>
        <w:rPr>
          <w:color w:val="000000"/>
          <w:sz w:val="18"/>
          <w:szCs w:val="18"/>
        </w:rPr>
        <w:t>setFrequency(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Token get(</w:t>
      </w:r>
      <w:r>
        <w:rPr>
          <w:b/>
          <w:bCs/>
          <w:color w:val="000080"/>
          <w:sz w:val="18"/>
          <w:szCs w:val="18"/>
        </w:rPr>
        <w:t xml:space="preserve">int </w:t>
      </w:r>
      <w:r>
        <w:rPr>
          <w:color w:val="000000"/>
          <w:sz w:val="18"/>
          <w:szCs w:val="18"/>
        </w:rPr>
        <w:t>i)</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r w:rsidRPr="006E2092">
        <w:rPr>
          <w:rFonts w:asciiTheme="minorHAnsi" w:eastAsiaTheme="minorHAnsi" w:hAnsiTheme="minorHAnsi" w:cstheme="minorBidi"/>
          <w:sz w:val="22"/>
          <w:szCs w:val="22"/>
        </w:rPr>
        <w:t>i</w:t>
      </w:r>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putInMap(String s)</w:t>
      </w:r>
    </w:p>
    <w:p w:rsidR="006E2092" w:rsidRDefault="006E2092" w:rsidP="008975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אחרת תיצור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getTxtSize()</w:t>
      </w:r>
    </w:p>
    <w:p w:rsidR="00897581" w:rsidRDefault="00FE3ABE" w:rsidP="008975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boolean </w:t>
      </w:r>
      <w:r>
        <w:rPr>
          <w:color w:val="000000"/>
          <w:sz w:val="18"/>
          <w:szCs w:val="18"/>
        </w:rPr>
        <w:t>mapContains(String s)</w:t>
      </w:r>
    </w:p>
    <w:p w:rsidR="00FE3ABE" w:rsidRDefault="00FE3ABE" w:rsidP="00FE3ABE">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mapRemove(String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מעבירה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CountryParser</w:t>
      </w: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p>
    <w:p w:rsidR="00904A3D" w:rsidRPr="00897581" w:rsidRDefault="00904A3D" w:rsidP="00904A3D">
      <w:pPr>
        <w:pStyle w:val="HTMLPreformatted"/>
        <w:shd w:val="clear" w:color="auto" w:fill="FFFFFF"/>
        <w:bidi/>
        <w:rPr>
          <w:rFonts w:asciiTheme="minorHAnsi" w:eastAsiaTheme="minorHAnsi" w:hAnsiTheme="minorHAnsi" w:cstheme="minorBidi"/>
          <w:sz w:val="22"/>
          <w:szCs w:val="22"/>
        </w:rPr>
      </w:pPr>
      <w:bookmarkStart w:id="0" w:name="_GoBack"/>
      <w:bookmarkEnd w:id="0"/>
    </w:p>
    <w:sectPr w:rsidR="00904A3D" w:rsidRPr="008975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F1EFD"/>
    <w:rsid w:val="001A7544"/>
    <w:rsid w:val="001E1FCD"/>
    <w:rsid w:val="00271B66"/>
    <w:rsid w:val="00326662"/>
    <w:rsid w:val="003D66EE"/>
    <w:rsid w:val="003E711D"/>
    <w:rsid w:val="004D36CD"/>
    <w:rsid w:val="00584CA5"/>
    <w:rsid w:val="006251D8"/>
    <w:rsid w:val="00680A84"/>
    <w:rsid w:val="006E2092"/>
    <w:rsid w:val="006E3B7A"/>
    <w:rsid w:val="0083692D"/>
    <w:rsid w:val="008878E5"/>
    <w:rsid w:val="00897581"/>
    <w:rsid w:val="00904A3D"/>
    <w:rsid w:val="00947885"/>
    <w:rsid w:val="00A22644"/>
    <w:rsid w:val="00A3335E"/>
    <w:rsid w:val="00D76640"/>
    <w:rsid w:val="00D90EAE"/>
    <w:rsid w:val="00E45037"/>
    <w:rsid w:val="00EF3F4C"/>
    <w:rsid w:val="00F808A5"/>
    <w:rsid w:val="00FA065A"/>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21E6"/>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13</cp:revision>
  <dcterms:created xsi:type="dcterms:W3CDTF">2018-12-05T17:00:00Z</dcterms:created>
  <dcterms:modified xsi:type="dcterms:W3CDTF">2018-12-05T22:45:00Z</dcterms:modified>
</cp:coreProperties>
</file>