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B36"/>
          <w:sz w:val="46"/>
        </w:rPr>
        <w:t xml:space="preserve">Habilin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B36"/>
              </w:rPr>
              <w:t xml:space="preserve">TEAM NAME TO COMPLETE</w:t>
            </w:r>
          </w:p>
        </w:tc>
      </w:tr>
      <w:tr>
        <w:tc>
          <w:tcPr>
            <w:tcW w:type="dxa" w:w="2088"/>
            <w:shd w:fill="EEF3FF"/>
          </w:tcPr>
          <w:p>
            <w:pPr>
              <w:spacing w:after="0"/>
            </w:pPr>
            <w:r>
              <w:rPr>
                <w:b/>
                <w:sz w:val="18"/>
              </w:rPr>
              <w:t>Competition track</w:t>
            </w:r>
          </w:p>
        </w:tc>
        <w:tc>
          <w:tcPr>
            <w:tcW w:type="dxa" w:w="7704"/>
          </w:tcPr>
          <w:p>
            <w:r>
              <w:rPr>
                <w:color w:val="172B36"/>
              </w:rPr>
              <w:t xml:space="preserve">International AI Track · Topic A provisional</w:t>
            </w:r>
          </w:p>
        </w:tc>
      </w:tr>
      <w:tr>
        <w:tc>
          <w:tcPr>
            <w:tcW w:type="dxa" w:w="2088"/>
            <w:shd w:fill="EEF3FF"/>
          </w:tcPr>
          <w:p>
            <w:pPr>
              <w:spacing w:after="0"/>
            </w:pPr>
            <w:r>
              <w:rPr>
                <w:b/>
                <w:sz w:val="18"/>
              </w:rPr>
              <w:t>Submission date</w:t>
            </w:r>
          </w:p>
        </w:tc>
        <w:tc>
          <w:tcPr>
            <w:tcW w:type="dxa" w:w="7704"/>
          </w:tcPr>
          <w:p>
            <w:r>
              <w:rPr>
                <w:color w:val="172B36"/>
              </w:rPr>
              <w:t xml:space="preserve">20 October 2026</w:t>
            </w:r>
          </w:p>
        </w:tc>
      </w:tr>
    </w:tbl>
    <w:p/>
    <w:p>
      <w:pPr>
        <w:pStyle w:val="Heading1"/>
      </w:pPr>
      <w:r>
        <w:t>01 Evidence Summary</w:t>
      </w:r>
    </w:p>
    <w:p>
      <w:pPr>
        <w:pStyle w:val="ListBullet"/>
        <w:spacing w:after="100"/>
      </w:pPr>
      <w:r>
        <w:t>Selected topic and scenario</w:t>
      </w:r>
    </w:p>
    <w:p>
      <w:pPr>
        <w:spacing w:after="180"/>
        <w:ind w:left="317"/>
      </w:pPr>
      <w:r>
        <w:rPr>
          <w:color w:val="172B36"/>
        </w:rPr>
        <w:t xml:space="preserve">Topic A, AI Personal Finance Assistant, provisionally; estate-tax administration is not explicitly named in the official topic description. One synthetic unmarried Philippine resident estate, a PHP15m investment property with 50% source-confirmed interest, no other deductions/credits/debts/penalties, and a post-2017 death. The milestone is acceptance of one simulated filing and settlement of one PHP150,000 official-payee sandbox payment. Government review/eCAR/title transfer remain open.</w:t>
      </w:r>
    </w:p>
    <w:p>
      <w:pPr>
        <w:pStyle w:val="ListBullet"/>
        <w:spacing w:after="100"/>
      </w:pPr>
      <w:r>
        <w:t>What the evidence demonstrates</w:t>
      </w:r>
    </w:p>
    <w:p>
      <w:pPr>
        <w:spacing w:after="180"/>
        <w:ind w:left="317"/>
      </w:pPr>
      <w:r>
        <w:rPr>
          <w:color w:val="172B36"/>
        </w:rPr>
        <w:t xml:space="preserve">The automated browser run with live Jev classification on 2026-10-19T19:51:33.030Z used actual Jev/TypeSafe intent classification, durable SQLite state and checked tools. The issuer correction and recovery were executed by the app. The browser script simulated professional and owner actors using separate authenticated sessions and the separate local owner-code command. The simulated ledger advances to settled when checked; no independent settlement feed is claimed. 33 automated tests passed separately, including direct HTTP/tool bypasses. This is local synthetic execution evidence, not proof of actual BIR/bank/registry access, legal effectiveness, deployment, customer adoption or advantage over a general agent.</w:t>
      </w:r>
    </w:p>
    <w:p>
      <w:pPr>
        <w:pStyle w:val="Heading1"/>
      </w:pPr>
      <w:r>
        <w:t>02 Logs or Transactions</w:t>
      </w:r>
    </w:p>
    <w:p>
      <w:pPr>
        <w:pStyle w:val="ListBullet"/>
        <w:spacing w:after="100"/>
      </w:pPr>
      <w:r>
        <w:t>Simulated account/sandbox logs, or transaction hashes for Topic F</w:t>
      </w:r>
    </w:p>
    <w:p>
      <w:pPr>
        <w:spacing w:after="180"/>
        <w:ind w:left="317"/>
      </w:pPr>
      <w:r>
        <w:rPr>
          <w:color w:val="172B36"/>
        </w:rPr>
        <w:t xml:space="preserve">Machine-readable source: submission/execution-evidence.json. Tool order: request_record → resolve_record → prepare_packet → professional_approve → owner_approve → submit (unknown response) → check_filing (accepted existing key) → pay_tax (pending) → check_payment (settled). The filing receipt is SIM-FILE-0001; payment receipt SIM-PAY-0001. The opening sandbox balance is PHP1m and remaining balance PHP850,000. The separate offline replay asserts exactly one submission and one payment. The actual unittest report is submission/test-results.json. No transaction hash is required because this is not Topic F.</w:t>
      </w:r>
    </w:p>
    <w:p>
      <w:pPr>
        <w:pStyle w:val="ListBullet"/>
        <w:spacing w:after="100"/>
      </w:pPr>
      <w:r>
        <w:t>Timestamp, action, result and relevant screenshot/link</w:t>
      </w:r>
    </w:p>
    <w:p>
      <w:pPr>
        <w:spacing w:after="180"/>
        <w:ind w:left="317"/>
      </w:pPr>
      <w:r>
        <w:rPr>
          <w:color w:val="172B36"/>
        </w:rPr>
        <w:t xml:space="preserve">Screenshots in submission/screenshots/: 01-case-intake.png; 02-professional-review.png; 03-unknown-filing.png; 04-pending-payment.png; 05-verified-outcome.png. Each logged tool event has a UTC timestamp, authenticated role and result; classification events include provider/model and the returned probabilities, without chat text or credentials. The recorded run contains six live classifications and reports 4,161 input plus 450 output tokens from that provider response; no price or cost claim is inferred. The video shows actual browser actions and is labelled simulated. Private tokens and owner codes are excluded from submitted evidence.</w:t>
      </w:r>
    </w:p>
    <w:p>
      <w:pPr>
        <w:pStyle w:val="Heading1"/>
      </w:pPr>
      <w:r>
        <w:t>03 Reproduction Guide</w:t>
      </w:r>
    </w:p>
    <w:p>
      <w:pPr>
        <w:pStyle w:val="ListBullet"/>
        <w:spacing w:after="100"/>
      </w:pPr>
      <w:r>
        <w:t>Steps required for judges to reproduce or verify the evidence</w:t>
      </w:r>
    </w:p>
    <w:p>
      <w:pPr>
        <w:spacing w:after="180"/>
        <w:ind w:left="317"/>
      </w:pPr>
      <w:r>
        <w:rPr>
          <w:color w:val="172B36"/>
        </w:rPr>
        <w:t xml:space="preserve">Use Python 3.11+ and a modern browser. Run python3 -m unittest discover -s tests -v and python3 scripts/replay_demo.py --output .build/replay.json. For the UI start python3 -m habilin serve --directory .runtime/judges --port 8788. Obtain role tokens with python3 -m habilin sessions --directory .runtime/judges. As operator progress the case; as professional confirm the packet; obtain the owner code using python3 -m habilin code --directory .runtime/judges and approve as owner; return to operator and progress three times. Observe unknown filing, pending payment and final receipts as separate states. Add --live-jev only with a configured TypeSafe MCP connection; offline fixture mode is explicitly labelled. Do not send real money or use personal documents.</w:t>
      </w:r>
    </w:p>
    <w:sectPr w:rsidR="00FC693F" w:rsidRPr="0006063C" w:rsidSect="00034616">
      <w:footerReference w:type="default" ns2: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