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spacing w:after="80"/>
      </w:pPr>
      <w:r>
        <w:rPr>
          <w:rFonts w:ascii="Aptos" w:hAnsi="Aptos"/>
          <w:b/>
          <w:color w:val="315FD8"/>
          <w:sz w:val="17"/>
        </w:rPr>
        <w:t>2026 FINTECHATHON · SUBMISSION TEMPLATE</w:t>
      </w:r>
    </w:p>
    <w:p>
      <w:pPr>
        <w:spacing w:after="60"/>
      </w:pPr>
      <w:r>
        <w:rPr>
          <w:rFonts w:ascii="Arial Unicode MS" w:hAnsi="Arial Unicode MS" w:eastAsia="Arial Unicode MS"/>
          <w:b/>
          <w:color w:val="172B36"/>
          <w:sz w:val="46"/>
        </w:rPr>
        <w:t xml:space="preserve">Habilin Technical Document</w:t>
      </w:r>
    </w:p>
    <w:p>
      <w:pPr>
        <w:spacing w:after="320"/>
      </w:pPr>
      <w:r>
        <w:rPr>
          <w:color w:val="616C7F"/>
          <w:sz w:val="20"/>
        </w:rPr>
        <w:t>Required material for the International AI Track. Please complete this document in English.</w:t>
      </w:r>
    </w:p>
    <w:tbl>
      <w:tblPr>
        <w:tblW w:type="auto" w:w="0"/>
        <w:tblLayout w:type="fixed"/>
        <w:tblLook w:firstColumn="1" w:firstRow="1" w:lastColumn="0" w:lastRow="0" w:noHBand="0" w:noVBand="1" w:val="04A0"/>
      </w:tblPr>
      <w:tblGrid>
        <w:gridCol w:w="4939"/>
        <w:gridCol w:w="4939"/>
      </w:tblGrid>
      <w:tr>
        <w:tc>
          <w:tcPr>
            <w:tcW w:type="dxa" w:w="2088"/>
            <w:shd w:fill="EEF3FF"/>
          </w:tcPr>
          <w:p>
            <w:pPr>
              <w:spacing w:after="0"/>
            </w:pPr>
            <w:r>
              <w:rPr>
                <w:b/>
                <w:sz w:val="18"/>
              </w:rPr>
              <w:t>Team name</w:t>
            </w:r>
          </w:p>
        </w:tc>
        <w:tc>
          <w:tcPr>
            <w:tcW w:type="dxa" w:w="7704"/>
          </w:tcPr>
          <w:p>
            <w:r>
              <w:rPr>
                <w:color w:val="172B36"/>
              </w:rPr>
              <w:t xml:space="preserve">Team Caelus</w:t>
            </w:r>
          </w:p>
        </w:tc>
      </w:tr>
      <w:tr>
        <w:tc>
          <w:tcPr>
            <w:tcW w:type="dxa" w:w="2088"/>
            <w:shd w:fill="EEF3FF"/>
          </w:tcPr>
          <w:p>
            <w:pPr>
              <w:spacing w:after="0"/>
            </w:pPr>
            <w:r>
              <w:rPr>
                <w:b/>
                <w:sz w:val="18"/>
              </w:rPr>
              <w:t>Competition track</w:t>
            </w:r>
          </w:p>
        </w:tc>
        <w:tc>
          <w:tcPr>
            <w:tcW w:type="dxa" w:w="7704"/>
          </w:tcPr>
          <w:p>
            <w:r>
              <w:rPr>
                <w:color w:val="172B36"/>
              </w:rPr>
              <w:t xml:space="preserve">International AI Track · Topic B provisional</w:t>
            </w:r>
          </w:p>
        </w:tc>
      </w:tr>
      <w:tr>
        <w:tc>
          <w:tcPr>
            <w:tcW w:type="dxa" w:w="2088"/>
            <w:shd w:fill="EEF3FF"/>
          </w:tcPr>
          <w:p>
            <w:pPr>
              <w:spacing w:after="0"/>
            </w:pPr>
            <w:r>
              <w:rPr>
                <w:b/>
                <w:sz w:val="18"/>
              </w:rPr>
              <w:t>Submission date</w:t>
            </w:r>
          </w:p>
        </w:tc>
        <w:tc>
          <w:tcPr>
            <w:tcW w:type="dxa" w:w="7704"/>
          </w:tcPr>
          <w:p>
            <w:r>
              <w:rPr>
                <w:color w:val="172B36"/>
              </w:rPr>
              <w:t xml:space="preserve">20 October 2026</w:t>
            </w:r>
          </w:p>
        </w:tc>
      </w:tr>
    </w:tbl>
    <w:p/>
    <w:p>
      <w:pPr>
        <w:pStyle w:val="Heading1"/>
      </w:pPr>
      <w:r>
        <w:t>01 Project Overview</w:t>
      </w:r>
    </w:p>
    <w:p>
      <w:pPr>
        <w:pStyle w:val="ListBullet"/>
        <w:spacing w:after="100"/>
      </w:pPr>
      <w:r>
        <w:t>Problem, target users and selected topic</w:t>
      </w:r>
    </w:p>
    <w:p>
      <w:pPr>
        <w:spacing w:after="180"/>
        <w:ind w:left="317"/>
      </w:pPr>
      <w:r>
        <w:rPr>
          <w:color w:val="172B36"/>
        </w:rPr>
        <w:t xml:space="preserve">Habilin progresses one authorized Philippine estate-tax case through evidence collection, professional review, sandbox filing and verified tax payment. The case handler, reviewing professional and authorized family representative have separate roles. The proposed repeat-use buyer is an estate law/accounting practice; no paying customer or volume has been established. Topic B, AI Wealth Assistant, is our provisional fit for protecting and transferring a family's inherited wealth; estate administration is not explicitly named in the published topics and acceptance is unconfirmed. The demo uses synthetic people and a restricted unmarried resident estate with one investment property, no other deductions or credits, and a post-2017 death.</w:t>
      </w:r>
    </w:p>
    <w:p>
      <w:pPr>
        <w:pStyle w:val="ListBullet"/>
        <w:spacing w:after="100"/>
      </w:pPr>
      <w:r>
        <w:t>Core value and innovation</w:t>
      </w:r>
    </w:p>
    <w:p>
      <w:pPr>
        <w:spacing w:after="180"/>
        <w:ind w:left="317"/>
      </w:pPr>
      <w:r>
        <w:rPr>
          <w:color w:val="172B36"/>
        </w:rPr>
        <w:t xml:space="preserve">The agent obtains a missing record, detects a 100% intake versus 50% source mismatch, requests issuer clarification, prepares a corrected financial packet, obtains two human approvals, executes an authorized simulated filing and payment, and verifies receipts after a lost response. This domain workflow is a hypothesis to validate, not a proven moat over a general agent given the same records and tools. We have no equal-tool comparative benchmark, professional pilot, measured fee saving or willingness-to-pay evidence. A filing/payment milestone does not imply estate settlement, eCAR issuance or title transfer. Execution model: every step is an executed action in one of two modes. Direct mode calls an authorized rail where one exists (for example UK Open Banking, Australia's Consumer Data Right, Singpass Myinfo or PhilSys authentication). Handoff mode applies where law requires a person: the agent prepares the exact submission, routes approval, and verifies the returned evidence before advancing, for example Philippine e-notarization (nationwide from 19 October 2026, accepted by LRA), PSA e-Certificates for death certificates (since February 2026) and LRA eSerbisyo title copies. No country checked lets third-party software change a beneficiary or create a power of attorney by API. Both modes keep the same approvals, one-time codes and receipt checks, and the agent never holds government credentials. The current demo simulates both kinds of institution; before-death readiness work is a roadmap on these rails. Sources: ACTIONABILITY_RESEARCH.md.</w:t>
      </w:r>
    </w:p>
    <w:p>
      <w:pPr>
        <w:pStyle w:val="Heading1"/>
      </w:pPr>
      <w:r>
        <w:t>02 System Architecture</w:t>
      </w:r>
    </w:p>
    <w:p>
      <w:pPr>
        <w:pStyle w:val="ListBullet"/>
        <w:spacing w:after="100"/>
      </w:pPr>
      <w:r>
        <w:t>Architecture diagram and component responsibilities</w:t>
      </w:r>
    </w:p>
    <w:p>
      <w:pPr>
        <w:spacing w:after="180"/>
        <w:ind w:left="317"/>
      </w:pPr>
      <w:r>
        <w:rPr>
          <w:color w:val="172B36"/>
        </w:rPr>
        <w:t xml:space="preserve">Browser case desk → authenticated loopback HTTP boundary → Jev intent classifier → fixed state planner → permission-checked tools → SQLite case, audit and simulated service ledgers. Separate professional and owner forms call the same checked tool boundary. Jev supplies an intent ID only. core.py owns evidence validation, integer money, nominal date, packet fingerprints, approvals, limits, reserves and idempotency. SQLite commits each tool action atomically and retains state across restart. The architecture is also shown in README.md and the presentation; the app serves HTML/CSS/JavaScript without a frontend dependency.</w:t>
      </w:r>
    </w:p>
    <w:p>
      <w:pPr>
        <w:pStyle w:val="ListBullet"/>
        <w:spacing w:after="100"/>
      </w:pPr>
      <w:r>
        <w:t>Models, tools, data sources and external services</w:t>
      </w:r>
    </w:p>
    <w:p>
      <w:pPr>
        <w:spacing w:after="180"/>
        <w:ind w:left="317"/>
      </w:pPr>
      <w:r>
        <w:rPr>
          <w:color w:val="172B36"/>
        </w:rPr>
        <w:t xml:space="preserve">Live classification uses Jev MCP, TypeSafe provider, model alias jev-latest, through a configured mcporter command; the underlying hosted alias is not pinned. An offline exact-phrase rehearsal mode is explicitly labelled and is not a live model. Models cannot provide tool arguments. External issuer, filing and payment services are deterministic simulations in core.py, not government APIs. The fixture includes death evidence, representative authority, valuation, settlement evidence and a CPA statement. Tax sources are BIR RR12-2018 and Form 1801 instructions, cited below. No real records, secrets, professional partner or institutional access are included.</w:t>
      </w:r>
    </w:p>
    <w:p>
      <w:pPr>
        <w:pStyle w:val="Heading1"/>
      </w:pPr>
      <w:r>
        <w:t>03 Agent Design</w:t>
      </w:r>
    </w:p>
    <w:p>
      <w:pPr>
        <w:pStyle w:val="ListBullet"/>
        <w:spacing w:after="100"/>
      </w:pPr>
      <w:r>
        <w:t>Intent understanding, planning, tool use and state management</w:t>
      </w:r>
    </w:p>
    <w:p>
      <w:pPr>
        <w:spacing w:after="180"/>
        <w:ind w:left="317"/>
      </w:pPr>
      <w:r>
        <w:rPr>
          <w:color w:val="172B36"/>
        </w:rPr>
        <w:t xml:space="preserve">The catalog contains progress, status, explain, correction, unsafe, off_topic and unclear. Live automatic acceptance requires a valid catalog ID, top probability at least 0.85 and margin at least 0.5; uncertain or unavailable classification asks for clarification without advancing. English and Taglish progress were exercised live. A fixed planner selects the next authorized tool from durable case state and pauses at professional approval, owner approval, uncertain filing or pending payment. The planner does not use free-form model plans. Explanations are templates derived from recorded state. Chat cannot edit financial facts or supply an approval.</w:t>
      </w:r>
    </w:p>
    <w:p>
      <w:pPr>
        <w:pStyle w:val="ListBullet"/>
        <w:spacing w:after="100"/>
      </w:pPr>
      <w:r>
        <w:t>Core algorithms and evaluation approach</w:t>
      </w:r>
    </w:p>
    <w:p>
      <w:pPr>
        <w:spacing w:after="180"/>
        <w:ind w:left="317"/>
      </w:pPr>
      <w:r>
        <w:rPr>
          <w:color w:val="172B36"/>
        </w:rPr>
        <w:t xml:space="preserve">The supported illustration uses PHP15m property × 50% source-confirmed interest = PHP7.5m gross estate. Less PHP5m standard deduction gives PHP2.5m net; 6% is PHP150,000. Money uses bounded integer centavos and basis points with half-up rounding; no floating-point finance. The nominal anniversary is 10 April 2027 and requires professional deadline confirmation. Approval fingerprints cover case, evidence, documents, assumptions, amount, operation and official payee. Filing/payment keys derive from the approved packet. The automated browser script simulates professional and owner actors in separate sessions. The simulated ledger advances settlement when checked; it is not an independent external feed. The filing service accepts then loses the response; the agent checks the original key before proceeding. A pending or failed payment cannot supply a settled receipt.</w:t>
      </w:r>
    </w:p>
    <w:p>
      <w:pPr>
        <w:pStyle w:val="Heading1"/>
      </w:pPr>
      <w:r>
        <w:t>04 Security Design</w:t>
      </w:r>
    </w:p>
    <w:p>
      <w:pPr>
        <w:pStyle w:val="ListBullet"/>
        <w:spacing w:after="100"/>
      </w:pPr>
      <w:r>
        <w:t>Tiered permissions and confirmation for sensitive actions</w:t>
      </w:r>
    </w:p>
    <w:p>
      <w:pPr>
        <w:spacing w:after="180"/>
        <w:ind w:left="317"/>
      </w:pPr>
      <w:r>
        <w:rPr>
          <w:color w:val="172B36"/>
        </w:rPr>
        <w:t xml:space="preserve">The server maps random local bearer tokens to a fixed case and role. Operator/owner automatic tools collect and prepare evidence. The professional explicitly confirms the exact packet. The owner explicitly authorizes one filing and the exact official-payee payment with a separate local-terminal, five-minute, single-use code bound to that packet; five incorrect attempts exhaust it. Submit and pay tools repeat both approval checks. A changed evidence or packet hash invalidates approval. A one-way owner safety lock blocks mutations. Payment also checks a PHP1m limit and PHP100,000 remaining reserve. No payee-change or limit-raising tool exists.</w:t>
      </w:r>
    </w:p>
    <w:p>
      <w:pPr>
        <w:pStyle w:val="ListBullet"/>
        <w:spacing w:after="100"/>
      </w:pPr>
      <w:r>
        <w:t>Protection against prompt injection, privilege escalation and privacy leakage</w:t>
      </w:r>
    </w:p>
    <w:p>
      <w:pPr>
        <w:spacing w:after="180"/>
        <w:ind w:left="317"/>
      </w:pPr>
      <w:r>
        <w:rPr>
          <w:color w:val="172B36"/>
        </w:rPr>
        <w:t xml:space="preserve">Document text remains data and cannot redefine tools or destinations; the ownership fixture deliberately contains a malicious transfer instruction. The official payee is fixed to SIM-BIR-ESTATE-TAX. HTTP callers cannot submit a role, retrieve a code, access another case or read local secrets. Inputs are size-bounded; origin/Host checks, bearer authentication, a restrictive content security policy and textContent rendering protect the demo boundary. Codes, bearer credentials and chat text are omitted from audit events; a six-digit guard keeps ordinary pasted codes out of model requests. Direct bypass tests cover induced transfer, extraction, privilege escalation and injection. These controls are tested defenses, not a broad security certification.</w:t>
      </w:r>
    </w:p>
    <w:p>
      <w:pPr>
        <w:pStyle w:val="Heading1"/>
      </w:pPr>
      <w:r>
        <w:t>05 Deployment and Testing</w:t>
      </w:r>
    </w:p>
    <w:p>
      <w:pPr>
        <w:pStyle w:val="ListBullet"/>
        <w:spacing w:after="100"/>
      </w:pPr>
      <w:r>
        <w:t>Environment, deployment instructions, test cases and known limitations</w:t>
      </w:r>
    </w:p>
    <w:p>
      <w:pPr>
        <w:spacing w:after="180"/>
        <w:ind w:left="317"/>
      </w:pPr>
      <w:r>
        <w:rPr>
          <w:color w:val="172B36"/>
        </w:rPr>
        <w:t xml:space="preserve">Launch: python3 -m habilin serve --port 8787; open http://127.0.0.1:8787 and use local tokens from python3 -m habilin sessions. Add --live-jev only with a configured TypeSafe MCP connection. Tests: python3 -m unittest discover -s tests -v. Actual result: 70 tests passed (20 of them adversarial tests from an independent AI red-team); Python 3.14 and bundled 3.12 runs passed. The browser completed six live classifications, separate approvals, unknown-filing recovery and one settled PHP150,000 payment; execution-evidence.json and screenshots record the actual results. Offline reproduction: python3 scripts/replay_demo.py --output .build/replay.json. Limits: single synthetic case, shared-machine demo identities, no real integrations, no encrypted multi-tenant deployment, no automatic failed-payment refund, no family-home/marital/amnesty/penalty handling, no holiday/extension calendar and no legal adjudication. Government review/eCAR/title transfer remain open. Primary sources: https://bir-cdn.bir.gov.ph/local/pdf/RR%20No%2012-2018.pdf and https://bir-cdn.bir.gov.ph/local/pdf/1801%20GL%20%20final_rev.pdf . Submission rules and source comparisons: SUBMISSION_REQUIREMENTS.md.</w:t>
      </w:r>
    </w:p>
    <w:sectPr w:rsidR="00FC693F" w:rsidRPr="0006063C" w:rsidSect="00034616">
      <w:footerReference w:type="default" ns2: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16C7F"/>
        <w:sz w:val="16"/>
      </w:rPr>
      <w:t>Complete this document according to the competition notice. If a newer template is published, the newer version prevails.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Unicode MS" w:hAnsi="Arial Unicode MS" w:eastAsia="Arial Unicode MS"/>
      <w:color w:val="172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Unicode MS" w:hAnsi="Arial Unicode MS" w:eastAsia="Arial Unicode MS"/>
      <w:b/>
      <w:bCs/>
      <w:color w:val="315FD8"/>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Arial Unicode MS"/>
      <w:b/>
      <w:bCs/>
      <w:color w:val="315FD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